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751" w:rsidRDefault="004937C7">
      <w:pPr>
        <w:pStyle w:val="CRCoverPage"/>
        <w:tabs>
          <w:tab w:val="right" w:pos="9360"/>
        </w:tabs>
        <w:spacing w:after="60" w:line="240" w:lineRule="auto"/>
        <w:jc w:val="both"/>
        <w:rPr>
          <w:rFonts w:eastAsia="宋体" w:cs="Arial"/>
          <w:b/>
          <w:color w:val="FFFFFF"/>
          <w:sz w:val="21"/>
          <w:szCs w:val="21"/>
          <w:lang w:val="en-US" w:eastAsia="zh-CN"/>
        </w:rPr>
      </w:pPr>
      <w:bookmarkStart w:id="0" w:name="OLE_LINK6"/>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3-e</w:t>
      </w:r>
      <w:r>
        <w:rPr>
          <w:rFonts w:eastAsia="宋体" w:cs="Arial"/>
          <w:b/>
          <w:sz w:val="21"/>
          <w:szCs w:val="21"/>
          <w:lang w:val="en-US" w:eastAsia="zh-CN"/>
        </w:rPr>
        <w:tab/>
        <w:t>R1-20</w:t>
      </w:r>
      <w:r>
        <w:rPr>
          <w:rFonts w:eastAsia="宋体" w:cs="Arial" w:hint="eastAsia"/>
          <w:b/>
          <w:sz w:val="21"/>
          <w:szCs w:val="21"/>
          <w:lang w:val="en-US" w:eastAsia="zh-CN"/>
        </w:rPr>
        <w:t>07966</w:t>
      </w:r>
    </w:p>
    <w:p w:rsidR="00494751" w:rsidRDefault="004937C7">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1"/>
          <w:szCs w:val="21"/>
          <w:lang w:val="en-US" w:eastAsia="zh-CN"/>
        </w:rPr>
        <w:t>October</w:t>
      </w:r>
      <w:r>
        <w:rPr>
          <w:rFonts w:eastAsia="宋体" w:cs="Arial"/>
          <w:b/>
          <w:bCs/>
          <w:sz w:val="21"/>
          <w:szCs w:val="21"/>
          <w:lang w:val="en-US" w:eastAsia="zh-CN"/>
        </w:rPr>
        <w:t xml:space="preserve"> </w:t>
      </w:r>
      <w:r>
        <w:rPr>
          <w:rFonts w:eastAsia="宋体" w:cs="Arial" w:hint="eastAsia"/>
          <w:b/>
          <w:bCs/>
          <w:sz w:val="21"/>
          <w:szCs w:val="21"/>
          <w:lang w:val="en-US" w:eastAsia="zh-CN"/>
        </w:rPr>
        <w:t>26</w:t>
      </w:r>
      <w:r>
        <w:rPr>
          <w:rFonts w:eastAsia="宋体" w:cs="Arial"/>
          <w:b/>
          <w:bCs/>
          <w:sz w:val="21"/>
          <w:szCs w:val="21"/>
          <w:vertAlign w:val="superscript"/>
          <w:lang w:val="en-US" w:eastAsia="zh-CN"/>
        </w:rPr>
        <w:t>th</w:t>
      </w:r>
      <w:r>
        <w:rPr>
          <w:rFonts w:eastAsia="宋体" w:cs="Arial"/>
          <w:b/>
          <w:bCs/>
          <w:sz w:val="21"/>
          <w:szCs w:val="21"/>
          <w:lang w:val="en-US" w:eastAsia="zh-CN"/>
        </w:rPr>
        <w:t xml:space="preserve"> - </w:t>
      </w:r>
      <w:r>
        <w:rPr>
          <w:rFonts w:eastAsia="宋体" w:cs="Arial" w:hint="eastAsia"/>
          <w:b/>
          <w:bCs/>
          <w:sz w:val="21"/>
          <w:szCs w:val="21"/>
          <w:lang w:val="en-US" w:eastAsia="zh-CN"/>
        </w:rPr>
        <w:t>November 13</w:t>
      </w:r>
      <w:r>
        <w:rPr>
          <w:rFonts w:eastAsia="宋体" w:cs="Arial"/>
          <w:b/>
          <w:bCs/>
          <w:sz w:val="21"/>
          <w:szCs w:val="21"/>
          <w:vertAlign w:val="superscript"/>
          <w:lang w:val="en-US" w:eastAsia="zh-CN"/>
        </w:rPr>
        <w:t>th</w:t>
      </w:r>
      <w:r>
        <w:rPr>
          <w:rFonts w:eastAsia="宋体" w:cs="Arial"/>
          <w:b/>
          <w:sz w:val="21"/>
          <w:szCs w:val="21"/>
          <w:lang w:val="en-US" w:eastAsia="zh-CN"/>
        </w:rPr>
        <w:t>,</w:t>
      </w:r>
      <w:r>
        <w:rPr>
          <w:rFonts w:eastAsia="宋体" w:cs="Arial"/>
          <w:b/>
          <w:sz w:val="21"/>
          <w:szCs w:val="21"/>
          <w:lang w:val="sv-SE" w:eastAsia="zh-CN"/>
        </w:rPr>
        <w:t xml:space="preserve"> 20</w:t>
      </w:r>
      <w:r>
        <w:rPr>
          <w:rFonts w:eastAsia="宋体" w:cs="Arial"/>
          <w:b/>
          <w:sz w:val="21"/>
          <w:szCs w:val="21"/>
          <w:lang w:val="en-US" w:eastAsia="zh-CN"/>
        </w:rPr>
        <w:t>20</w:t>
      </w:r>
    </w:p>
    <w:p w:rsidR="00494751" w:rsidRDefault="00494751">
      <w:pPr>
        <w:pStyle w:val="CRCoverPage"/>
        <w:tabs>
          <w:tab w:val="right" w:pos="9639"/>
        </w:tabs>
        <w:spacing w:after="60" w:line="240" w:lineRule="auto"/>
        <w:jc w:val="both"/>
        <w:rPr>
          <w:rFonts w:eastAsia="宋体" w:cs="Arial"/>
          <w:b/>
          <w:sz w:val="21"/>
          <w:szCs w:val="21"/>
          <w:lang w:val="sv-SE" w:eastAsia="zh-CN"/>
        </w:rPr>
      </w:pPr>
    </w:p>
    <w:p w:rsidR="00494751" w:rsidRDefault="004937C7">
      <w:pPr>
        <w:pStyle w:val="Header"/>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sidR="00AF3170">
        <w:rPr>
          <w:rFonts w:cs="Arial"/>
          <w:sz w:val="21"/>
          <w:szCs w:val="21"/>
          <w:lang w:val="en-US" w:eastAsia="zh-CN"/>
        </w:rPr>
        <w:t>O</w:t>
      </w:r>
      <w:bookmarkStart w:id="1" w:name="_GoBack"/>
      <w:bookmarkEnd w:id="1"/>
      <w:r>
        <w:rPr>
          <w:rFonts w:cs="Arial"/>
          <w:sz w:val="21"/>
          <w:szCs w:val="21"/>
          <w:lang w:val="en-US" w:eastAsia="zh-CN"/>
        </w:rPr>
        <w:t>n the channel access mechanism for above 52.6GHz</w:t>
      </w:r>
    </w:p>
    <w:p w:rsidR="00494751" w:rsidRDefault="004937C7">
      <w:pPr>
        <w:pStyle w:val="Header"/>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494751" w:rsidRDefault="004937C7">
      <w:pPr>
        <w:pStyle w:val="Header"/>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.2</w:t>
      </w:r>
    </w:p>
    <w:p w:rsidR="00494751" w:rsidRDefault="004937C7">
      <w:pPr>
        <w:pStyle w:val="Header"/>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494751" w:rsidRDefault="004937C7">
      <w:pPr>
        <w:pStyle w:val="Heading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494751" w:rsidRDefault="004937C7">
      <w:pPr>
        <w:snapToGrid w:val="0"/>
        <w:spacing w:beforeLines="50" w:before="120" w:afterLines="50" w:after="120" w:line="240" w:lineRule="auto"/>
        <w:jc w:val="both"/>
        <w:rPr>
          <w:bCs/>
        </w:rPr>
      </w:pPr>
      <w:bookmarkStart w:id="2" w:name="OLE_LINK1"/>
      <w:bookmarkStart w:id="3" w:name="OLE_LINK2"/>
      <w:bookmarkStart w:id="4" w:name="OLE_LINK15"/>
      <w:bookmarkStart w:id="5" w:name="OLE_LINK16"/>
      <w:r>
        <w:rPr>
          <w:rFonts w:hint="eastAsia"/>
          <w:lang w:val="en-US" w:eastAsia="zh-CN"/>
        </w:rPr>
        <w:t>In the RAN #86 meeting, a new SID on supporting NR from 52.6 GHz to 71 GHz was agreed [1] and t</w:t>
      </w:r>
      <w:r>
        <w:rPr>
          <w:bCs/>
        </w:rPr>
        <w:t>his study item will include the following objectives</w:t>
      </w:r>
      <w:r>
        <w:rPr>
          <w:rFonts w:eastAsia="宋体" w:hint="eastAsia"/>
          <w:bCs/>
          <w:lang w:val="en-US" w:eastAsia="zh-CN"/>
        </w:rPr>
        <w:t xml:space="preserve"> for channel access mechanism in RAN1</w:t>
      </w:r>
      <w:r>
        <w:rPr>
          <w:bCs/>
        </w:rPr>
        <w:t>:</w:t>
      </w:r>
    </w:p>
    <w:p w:rsidR="00494751" w:rsidRDefault="004937C7">
      <w:pPr>
        <w:numPr>
          <w:ilvl w:val="0"/>
          <w:numId w:val="11"/>
        </w:numPr>
        <w:spacing w:beforeLines="50" w:before="120" w:after="0" w:line="260" w:lineRule="auto"/>
        <w:ind w:left="726" w:hanging="363"/>
        <w:rPr>
          <w:bCs/>
          <w:i/>
          <w:iCs/>
          <w:lang w:val="en-US"/>
        </w:rPr>
      </w:pPr>
      <w:r>
        <w:rPr>
          <w:bCs/>
          <w:i/>
          <w:i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rsidR="00494751" w:rsidRDefault="004937C7">
      <w:pPr>
        <w:numPr>
          <w:ilvl w:val="1"/>
          <w:numId w:val="11"/>
        </w:numPr>
        <w:spacing w:after="0"/>
        <w:rPr>
          <w:bCs/>
          <w:sz w:val="21"/>
          <w:szCs w:val="22"/>
          <w:lang w:val="en-US" w:eastAsia="zh-CN"/>
        </w:rPr>
      </w:pPr>
      <w:r>
        <w:rPr>
          <w:bCs/>
          <w:i/>
          <w:iCs/>
          <w:sz w:val="21"/>
          <w:szCs w:val="22"/>
          <w:lang w:val="en-US"/>
        </w:rPr>
        <w:t>Note: It is clarified that potential interference impact, if identified, may require interference mitigation solutions as part of channel access mechanism.</w:t>
      </w:r>
      <w:r>
        <w:rPr>
          <w:bCs/>
          <w:sz w:val="21"/>
          <w:szCs w:val="22"/>
          <w:lang w:val="en-US"/>
        </w:rPr>
        <w:t xml:space="preserve"> </w:t>
      </w:r>
    </w:p>
    <w:p w:rsidR="00494751" w:rsidRDefault="004937C7">
      <w:pPr>
        <w:snapToGrid w:val="0"/>
        <w:spacing w:beforeLines="50" w:before="120" w:afterLines="50" w:after="120" w:line="240" w:lineRule="auto"/>
        <w:jc w:val="both"/>
        <w:rPr>
          <w:lang w:val="en-US" w:eastAsia="zh-CN"/>
        </w:rPr>
      </w:pPr>
      <w:r>
        <w:rPr>
          <w:rFonts w:hint="eastAsia"/>
          <w:lang w:val="en-US" w:eastAsia="zh-CN"/>
        </w:rPr>
        <w:t>In RAN1 #102-e meeting, the following agreement have been reached [2]:</w:t>
      </w:r>
    </w:p>
    <w:p w:rsidR="00494751" w:rsidRDefault="004937C7">
      <w:pPr>
        <w:spacing w:before="180" w:after="60" w:line="260" w:lineRule="auto"/>
        <w:rPr>
          <w:u w:val="single"/>
        </w:rPr>
      </w:pPr>
      <w:r>
        <w:rPr>
          <w:u w:val="single"/>
        </w:rPr>
        <w:t>Conclusion:</w:t>
      </w:r>
    </w:p>
    <w:p w:rsidR="00494751" w:rsidRDefault="004937C7">
      <w:pPr>
        <w:pStyle w:val="ListParagraph"/>
        <w:kinsoku w:val="0"/>
        <w:overflowPunct w:val="0"/>
        <w:adjustRightInd w:val="0"/>
        <w:spacing w:line="257" w:lineRule="auto"/>
        <w:textAlignment w:val="baseline"/>
        <w:rPr>
          <w:bCs/>
          <w:i/>
          <w:iCs/>
          <w:lang w:eastAsia="en-US"/>
        </w:rPr>
      </w:pPr>
      <w:r>
        <w:rPr>
          <w:i/>
          <w:iCs/>
          <w:lang w:eastAsia="en-US"/>
        </w:rPr>
        <w:t xml:space="preserve">The OCB requirement of draft version v2.1.20 of EN 302 567 implies that </w:t>
      </w:r>
    </w:p>
    <w:p w:rsidR="00494751" w:rsidRDefault="004937C7">
      <w:pPr>
        <w:pStyle w:val="ListParagraph"/>
        <w:numPr>
          <w:ilvl w:val="0"/>
          <w:numId w:val="12"/>
        </w:numPr>
        <w:kinsoku w:val="0"/>
        <w:overflowPunct w:val="0"/>
        <w:adjustRightInd w:val="0"/>
        <w:spacing w:line="257" w:lineRule="auto"/>
        <w:ind w:leftChars="100" w:left="560"/>
        <w:textAlignment w:val="baseline"/>
        <w:rPr>
          <w:bCs/>
          <w:i/>
          <w:iCs/>
          <w:lang w:eastAsia="en-US"/>
        </w:rPr>
      </w:pPr>
      <w:r>
        <w:rPr>
          <w:bCs/>
          <w:i/>
          <w:iCs/>
          <w:lang w:eastAsia="en-US"/>
        </w:rPr>
        <w:t xml:space="preserve">Device supports one or multiple declared nominal channel bandwidths. </w:t>
      </w:r>
    </w:p>
    <w:p w:rsidR="00494751" w:rsidRDefault="004937C7">
      <w:pPr>
        <w:pStyle w:val="ListParagraph"/>
        <w:numPr>
          <w:ilvl w:val="0"/>
          <w:numId w:val="12"/>
        </w:numPr>
        <w:kinsoku w:val="0"/>
        <w:overflowPunct w:val="0"/>
        <w:adjustRightInd w:val="0"/>
        <w:spacing w:line="257" w:lineRule="auto"/>
        <w:ind w:leftChars="100" w:left="560"/>
        <w:textAlignment w:val="baseline"/>
        <w:rPr>
          <w:bCs/>
          <w:i/>
          <w:iCs/>
          <w:lang w:eastAsia="en-US"/>
        </w:rPr>
      </w:pPr>
      <w:r>
        <w:rPr>
          <w:bCs/>
          <w:i/>
          <w:iCs/>
          <w:lang w:eastAsia="en-US"/>
        </w:rPr>
        <w:t xml:space="preserve">For each declared nominal channel bandwidth, RAN1 design should support at least one physical layer signal/channel transmission that occupies at least 70% of the nominal channel bandwidth. </w:t>
      </w:r>
    </w:p>
    <w:p w:rsidR="00494751" w:rsidRDefault="004937C7">
      <w:pPr>
        <w:pStyle w:val="ListParagraph"/>
        <w:numPr>
          <w:ilvl w:val="0"/>
          <w:numId w:val="12"/>
        </w:numPr>
        <w:kinsoku w:val="0"/>
        <w:overflowPunct w:val="0"/>
        <w:adjustRightInd w:val="0"/>
        <w:spacing w:line="257" w:lineRule="auto"/>
        <w:ind w:leftChars="100" w:left="560"/>
        <w:textAlignment w:val="baseline"/>
        <w:rPr>
          <w:bCs/>
          <w:i/>
          <w:iCs/>
          <w:lang w:eastAsia="en-US"/>
        </w:rPr>
      </w:pPr>
      <w:r>
        <w:rPr>
          <w:bCs/>
          <w:i/>
          <w:iCs/>
          <w:lang w:eastAsia="en-US"/>
        </w:rPr>
        <w:t>FFS: Mapping of nominal channel bandwidth to bandwidth definitions in NR.</w:t>
      </w:r>
    </w:p>
    <w:p w:rsidR="00494751" w:rsidRDefault="004937C7">
      <w:pPr>
        <w:spacing w:before="180" w:after="60" w:line="260" w:lineRule="auto"/>
        <w:rPr>
          <w:u w:val="single"/>
        </w:rPr>
      </w:pPr>
      <w:r>
        <w:rPr>
          <w:u w:val="single"/>
        </w:rPr>
        <w:t>Conclusion:</w:t>
      </w:r>
    </w:p>
    <w:p w:rsidR="00494751" w:rsidRDefault="004937C7">
      <w:pPr>
        <w:spacing w:after="0" w:line="260" w:lineRule="auto"/>
        <w:rPr>
          <w:i/>
          <w:iCs/>
        </w:rPr>
      </w:pPr>
      <w:r>
        <w:rPr>
          <w:i/>
          <w:iCs/>
        </w:rPr>
        <w:t>The RAN1 understanding of the CCA check procedure in draft v2.1.20 of EN 302 567 is as follows:</w:t>
      </w:r>
    </w:p>
    <w:p w:rsidR="00494751" w:rsidRDefault="004937C7">
      <w:pPr>
        <w:numPr>
          <w:ilvl w:val="0"/>
          <w:numId w:val="12"/>
        </w:numPr>
        <w:spacing w:after="0" w:line="260" w:lineRule="auto"/>
        <w:ind w:leftChars="100" w:left="560"/>
        <w:rPr>
          <w:i/>
          <w:iCs/>
        </w:rPr>
      </w:pPr>
      <w:r>
        <w:rPr>
          <w:i/>
          <w:iCs/>
        </w:rPr>
        <w:t>When performing CCA before initiating transmission, during count down, when an observation slot fails ED, the counter freezes, and will continue count down 8us after the interference is detected to be gone</w:t>
      </w:r>
    </w:p>
    <w:p w:rsidR="00494751" w:rsidRDefault="004937C7">
      <w:pPr>
        <w:spacing w:before="180" w:after="60" w:line="260" w:lineRule="auto"/>
      </w:pPr>
      <w:r>
        <w:rPr>
          <w:highlight w:val="green"/>
        </w:rPr>
        <w:t>Agreement:</w:t>
      </w:r>
    </w:p>
    <w:p w:rsidR="00494751" w:rsidRDefault="004937C7">
      <w:pPr>
        <w:numPr>
          <w:ilvl w:val="0"/>
          <w:numId w:val="13"/>
        </w:numPr>
        <w:spacing w:after="0" w:line="260" w:lineRule="auto"/>
        <w:ind w:left="363" w:hanging="363"/>
        <w:rPr>
          <w:i/>
          <w:iCs/>
        </w:rPr>
      </w:pPr>
      <w:r>
        <w:rPr>
          <w:i/>
          <w:iCs/>
        </w:rPr>
        <w:t>For gNB/UE to initiate a channel occupancy, both channel access with LBT mechanism(s) and a channel access mechanism without LBT are supported</w:t>
      </w:r>
    </w:p>
    <w:p w:rsidR="00494751" w:rsidRDefault="004937C7">
      <w:pPr>
        <w:numPr>
          <w:ilvl w:val="0"/>
          <w:numId w:val="13"/>
        </w:numPr>
        <w:spacing w:after="0" w:line="260" w:lineRule="auto"/>
        <w:ind w:left="363" w:hanging="363"/>
        <w:rPr>
          <w:i/>
          <w:iCs/>
        </w:rPr>
      </w:pPr>
      <w:r>
        <w:rPr>
          <w:i/>
          <w:iCs/>
        </w:rPr>
        <w:t>FFS: LBT mechanisms such as Omni-directional LBT, directional LBT and receiver assisted LBT type of schemes when channel access with LBT is used.</w:t>
      </w:r>
    </w:p>
    <w:p w:rsidR="00494751" w:rsidRDefault="004937C7">
      <w:pPr>
        <w:numPr>
          <w:ilvl w:val="0"/>
          <w:numId w:val="13"/>
        </w:numPr>
        <w:spacing w:after="0" w:line="260" w:lineRule="auto"/>
        <w:ind w:left="363" w:hanging="363"/>
        <w:rPr>
          <w:i/>
          <w:iCs/>
        </w:rPr>
      </w:pPr>
      <w:r>
        <w:rPr>
          <w:i/>
          <w:iCs/>
        </w:rPr>
        <w:t>FFS: If operation restrictions for channel access without LBT are needed, e.g. compliance with regulations, and/or in presence of ATPC, DFS, long term sensing, or other interference mitigation mechanisms</w:t>
      </w:r>
    </w:p>
    <w:p w:rsidR="00494751" w:rsidRDefault="004937C7">
      <w:pPr>
        <w:numPr>
          <w:ilvl w:val="0"/>
          <w:numId w:val="13"/>
        </w:numPr>
        <w:spacing w:after="0" w:line="260" w:lineRule="auto"/>
        <w:ind w:left="363" w:hanging="363"/>
        <w:rPr>
          <w:i/>
          <w:iCs/>
        </w:rPr>
      </w:pPr>
      <w:r>
        <w:rPr>
          <w:i/>
          <w:iCs/>
        </w:rPr>
        <w:t>FFS: The mechanism and condition(s) to switch between channel access with LBT and channel access without LBT (if local regulation allows)</w:t>
      </w:r>
    </w:p>
    <w:p w:rsidR="00494751" w:rsidRDefault="004937C7">
      <w:pPr>
        <w:spacing w:before="180" w:line="260" w:lineRule="auto"/>
      </w:pPr>
      <w:r>
        <w:rPr>
          <w:highlight w:val="green"/>
        </w:rPr>
        <w:t>Agreement:</w:t>
      </w:r>
    </w:p>
    <w:p w:rsidR="00494751" w:rsidRDefault="004937C7">
      <w:pPr>
        <w:spacing w:after="0" w:line="240" w:lineRule="exact"/>
        <w:rPr>
          <w:i/>
          <w:iCs/>
        </w:rPr>
      </w:pPr>
      <w:r>
        <w:rPr>
          <w:i/>
          <w:iCs/>
        </w:rPr>
        <w:t>Use the LBT procedures in draft v2.1.20 of EN 302 567 as the baseline system evaluation with LBT</w:t>
      </w:r>
    </w:p>
    <w:p w:rsidR="00494751" w:rsidRDefault="004937C7">
      <w:pPr>
        <w:numPr>
          <w:ilvl w:val="0"/>
          <w:numId w:val="13"/>
        </w:numPr>
        <w:spacing w:after="0" w:line="240" w:lineRule="exact"/>
        <w:ind w:left="363" w:hanging="363"/>
        <w:rPr>
          <w:i/>
          <w:iCs/>
          <w:lang w:val="en-US" w:eastAsia="zh-CN"/>
        </w:rPr>
      </w:pPr>
      <w:r>
        <w:rPr>
          <w:i/>
          <w:iCs/>
        </w:rPr>
        <w:t>Enhancements to ED threshold, contention window sizes etc. can be considered as part of the evaluations.</w:t>
      </w:r>
    </w:p>
    <w:p w:rsidR="00494751" w:rsidRDefault="004937C7">
      <w:pPr>
        <w:snapToGrid w:val="0"/>
        <w:spacing w:beforeLines="50" w:before="120" w:afterLines="50" w:after="120" w:line="240" w:lineRule="auto"/>
        <w:jc w:val="both"/>
        <w:rPr>
          <w:lang w:val="en-US" w:eastAsia="zh-CN"/>
        </w:rPr>
      </w:pPr>
      <w:r>
        <w:rPr>
          <w:rFonts w:hint="eastAsia"/>
          <w:lang w:val="en-US" w:eastAsia="zh-CN"/>
        </w:rPr>
        <w:t xml:space="preserve">In this contribution, we share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w:t>
      </w:r>
    </w:p>
    <w:p w:rsidR="00494751" w:rsidRDefault="004937C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Discussion</w:t>
      </w:r>
    </w:p>
    <w:p w:rsidR="00494751" w:rsidRDefault="004937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Regulation rules</w:t>
      </w:r>
    </w:p>
    <w:p w:rsidR="00494751" w:rsidRDefault="004937C7">
      <w:pPr>
        <w:jc w:val="both"/>
        <w:rPr>
          <w:rFonts w:eastAsia="宋体"/>
          <w:lang w:eastAsia="zh-CN"/>
        </w:rPr>
      </w:pPr>
      <w:r>
        <w:rPr>
          <w:rFonts w:hint="eastAsia"/>
          <w:lang w:val="en-US" w:eastAsia="zh-CN"/>
        </w:rPr>
        <w:t xml:space="preserve">In this section, we will mainly discuss some key regulation rules for above 52.6GHz band to achieve </w:t>
      </w:r>
      <w:r>
        <w:rPr>
          <w:rFonts w:eastAsia="宋体" w:hint="eastAsia"/>
          <w:lang w:val="en-US" w:eastAsia="zh-CN"/>
        </w:rPr>
        <w:t xml:space="preserve">fair and friendly coexistence with </w:t>
      </w:r>
      <w:r w:rsidR="002571D3">
        <w:rPr>
          <w:rFonts w:eastAsia="宋体"/>
          <w:lang w:val="en-US" w:eastAsia="zh-CN"/>
        </w:rPr>
        <w:t>existing</w:t>
      </w:r>
      <w:r>
        <w:rPr>
          <w:rFonts w:eastAsia="宋体" w:hint="eastAsia"/>
          <w:lang w:val="en-US" w:eastAsia="zh-CN"/>
        </w:rPr>
        <w:t xml:space="preserve"> systems (e.g. Wi-Fi 802.11ad/ay) and intra-RAT services. The details are as follows</w:t>
      </w:r>
      <w:r>
        <w:rPr>
          <w:rFonts w:eastAsia="宋体" w:hint="eastAsia"/>
          <w:lang w:eastAsia="zh-CN"/>
        </w:rPr>
        <w:t>:</w:t>
      </w:r>
    </w:p>
    <w:p w:rsidR="00494751" w:rsidRDefault="004937C7">
      <w:pPr>
        <w:rPr>
          <w:rFonts w:eastAsia="宋体"/>
          <w:b/>
          <w:bCs/>
          <w:lang w:val="en-US" w:eastAsia="zh-CN"/>
        </w:rPr>
      </w:pPr>
      <w:r>
        <w:rPr>
          <w:rFonts w:eastAsia="宋体" w:hint="eastAsia"/>
          <w:b/>
          <w:bCs/>
          <w:lang w:val="en-US" w:eastAsia="zh-CN"/>
        </w:rPr>
        <w:t>Channel access mechanism</w:t>
      </w:r>
    </w:p>
    <w:p w:rsidR="00494751" w:rsidRDefault="004937C7">
      <w:pPr>
        <w:jc w:val="both"/>
        <w:rPr>
          <w:rFonts w:eastAsia="宋体"/>
          <w:lang w:val="en-US" w:eastAsia="zh-CN"/>
        </w:rPr>
      </w:pPr>
      <w:r>
        <w:rPr>
          <w:rFonts w:eastAsia="宋体" w:hint="eastAsia"/>
          <w:lang w:val="en-US" w:eastAsia="zh-CN"/>
        </w:rPr>
        <w:t>In ETSI EN 302 567 v2.1.20 [3], it is specified that LBT</w:t>
      </w:r>
      <w:r>
        <w:rPr>
          <w:rFonts w:eastAsia="宋体"/>
          <w:lang w:val="en-US" w:eastAsia="zh-CN"/>
        </w:rPr>
        <w:t xml:space="preserve"> </w:t>
      </w:r>
      <w:r>
        <w:rPr>
          <w:rFonts w:eastAsia="宋体" w:hint="eastAsia"/>
          <w:lang w:val="en-US" w:eastAsia="zh-CN"/>
        </w:rPr>
        <w:t xml:space="preserve">(Listen Before Talk) is mandatory to facilitate spectrum sharing in Europe area. Thus, LBT should be supported in Europe in order to comply with regulatory requirements applicable to frequencies between 57 GHz and 66 GHz. But such mechanism is not required in other countries, e.g., </w:t>
      </w:r>
      <w:r>
        <w:t xml:space="preserve">ITU region 2 and </w:t>
      </w:r>
      <w:r>
        <w:rPr>
          <w:rFonts w:eastAsia="宋体" w:hint="eastAsia"/>
          <w:lang w:val="en-US" w:eastAsia="zh-CN"/>
        </w:rPr>
        <w:t xml:space="preserve">3. Besides, in ETSI EN 303 722, the related coexistence mechanisms are still under discussion, e.g., </w:t>
      </w:r>
      <w:r>
        <w:t>adaptiv</w:t>
      </w:r>
      <w:r>
        <w:rPr>
          <w:rFonts w:eastAsia="宋体" w:hint="eastAsia"/>
          <w:lang w:val="en-US" w:eastAsia="zh-CN"/>
        </w:rPr>
        <w:t>e channel access mechanism such as Automatic Transmit Power Control (ATPC). Even so, we still need to consider LBT regulatory of other RAT devices (e.g., Wi-Fi 802.11 ad/ay) operated in the same frequency spectrum. Wherein, 802.11 ad/ay nodes need to use LBT to assess the state (busy or idle) of the current channel. From this point of view, in order to ensure friendly and fair coexistence with Wi-Fi, LBT should be considered and enhanced for NR above 52.6 GHz band.</w:t>
      </w:r>
    </w:p>
    <w:p w:rsidR="00494751" w:rsidRDefault="004937C7">
      <w:pPr>
        <w:jc w:val="both"/>
        <w:rPr>
          <w:rFonts w:eastAsia="宋体"/>
          <w:b/>
          <w:bCs/>
          <w:lang w:val="en-US" w:eastAsia="zh-CN"/>
        </w:rPr>
      </w:pPr>
      <w:r>
        <w:rPr>
          <w:rFonts w:eastAsia="宋体" w:hint="eastAsia"/>
          <w:b/>
          <w:bCs/>
          <w:lang w:val="en-US" w:eastAsia="zh-CN"/>
        </w:rPr>
        <w:t>Occupied Channel Bandwidth (OCB)</w:t>
      </w:r>
    </w:p>
    <w:p w:rsidR="00494751" w:rsidRPr="00D77BF6" w:rsidRDefault="004937C7">
      <w:pPr>
        <w:jc w:val="both"/>
        <w:rPr>
          <w:rFonts w:eastAsia="宋体"/>
          <w:color w:val="000000"/>
          <w:lang w:val="en-US" w:eastAsia="zh-CN" w:bidi="ar"/>
        </w:rPr>
      </w:pPr>
      <w:r w:rsidRPr="00D77BF6">
        <w:rPr>
          <w:rFonts w:eastAsia="宋体"/>
          <w:color w:val="000000"/>
          <w:lang w:val="en-US" w:eastAsia="zh-CN" w:bidi="ar"/>
        </w:rPr>
        <w:t xml:space="preserve">ETSI EN 302 567 v2.1.20[3] specified that the Occupied Channel Bandwidth is the bandwidth containing 99 % of the power of the signal, which shall be between 70 % and 100 % of the declared </w:t>
      </w:r>
      <w:r w:rsidRPr="00D77BF6">
        <w:rPr>
          <w:rFonts w:eastAsia="宋体"/>
          <w:i/>
          <w:iCs/>
          <w:color w:val="000000"/>
          <w:lang w:val="en-US" w:eastAsia="zh-CN" w:bidi="ar"/>
        </w:rPr>
        <w:t xml:space="preserve">Nominal Channel Bandwidth </w:t>
      </w:r>
      <w:r w:rsidRPr="00D77BF6">
        <w:rPr>
          <w:rFonts w:eastAsia="宋体"/>
          <w:color w:val="000000"/>
          <w:lang w:val="en-US" w:eastAsia="zh-CN" w:bidi="ar"/>
        </w:rPr>
        <w:t>(NCB). Wherein, The Nominal Channel Bandwidth is the widest band of frequencies, inclusive of guard bands, assigned to a single channel. However, such restriction is not required in the US, China, Japan, South Korea, Australia and Singapore. In this regard, it has been discussed in RAN1 #102-e meeting and has a basic common understanding that all UL and/or DL channels do not need to satisfy at least 70% OCB requirement if OCB is required. That is to say, it is enough that one of all UL and/or DL channels meets OCB requirement. Further, regarding how to understand NCB and determine relationship between NCB and bandwidth defined in NR will be FFS. We will share our views on it in the following section.</w:t>
      </w:r>
    </w:p>
    <w:p w:rsidR="00494751" w:rsidRDefault="004937C7">
      <w:pPr>
        <w:jc w:val="both"/>
        <w:rPr>
          <w:rFonts w:eastAsia="宋体"/>
          <w:lang w:val="en-US" w:eastAsia="zh-CN"/>
        </w:rPr>
      </w:pPr>
      <w:r>
        <w:rPr>
          <w:rFonts w:eastAsia="宋体" w:hint="eastAsia"/>
          <w:b/>
          <w:bCs/>
          <w:lang w:val="en-US" w:eastAsia="zh-CN"/>
        </w:rPr>
        <w:t>Channel Occupancy Time (COT)</w:t>
      </w:r>
    </w:p>
    <w:p w:rsidR="00494751" w:rsidRDefault="004937C7">
      <w:pPr>
        <w:jc w:val="both"/>
        <w:rPr>
          <w:lang w:val="en-US" w:eastAsia="zh-CN"/>
        </w:rPr>
      </w:pPr>
      <w:r>
        <w:t xml:space="preserve">In unlicensed spectrum, channel availability cannot always be guaranteed. In addition, certain regions such as Europe and Japan prohibit continuous transmission and impose limits on the </w:t>
      </w:r>
      <w:r>
        <w:rPr>
          <w:lang w:val="en-US"/>
        </w:rPr>
        <w:t>maximum</w:t>
      </w:r>
      <w:r>
        <w:t xml:space="preserve"> </w:t>
      </w:r>
      <w:r>
        <w:rPr>
          <w:rFonts w:hint="eastAsia"/>
          <w:i/>
        </w:rPr>
        <w:t>Channel Occupancy Time</w:t>
      </w:r>
      <w:r>
        <w:rPr>
          <w:rFonts w:hint="eastAsia"/>
        </w:rPr>
        <w:t xml:space="preserve"> (COT) </w:t>
      </w:r>
      <w:r>
        <w:t xml:space="preserve">in the unlicensed spectrum. </w:t>
      </w:r>
      <w:r>
        <w:rPr>
          <w:rFonts w:eastAsia="宋体" w:hint="eastAsia"/>
          <w:lang w:val="en-US" w:eastAsia="zh-CN"/>
        </w:rPr>
        <w:t>In latest version of ETSI EN 302 567</w:t>
      </w:r>
      <w:r>
        <w:rPr>
          <w:rFonts w:hint="eastAsia"/>
          <w:lang w:val="en-US" w:eastAsia="zh-CN"/>
        </w:rPr>
        <w:t>[3]</w:t>
      </w:r>
      <w:r>
        <w:rPr>
          <w:rFonts w:eastAsiaTheme="minorEastAsia" w:hint="eastAsia"/>
          <w:lang w:val="en-US" w:eastAsia="zh-CN"/>
        </w:rPr>
        <w:t>,</w:t>
      </w:r>
      <w:r>
        <w:rPr>
          <w:rFonts w:hint="eastAsia"/>
          <w:lang w:val="en-US" w:eastAsia="zh-CN"/>
        </w:rPr>
        <w:t xml:space="preserve"> the total time that an equipment makes use of an Operating Channel is defined as the Channel Occupancy Time, which shall be less than 5 ms, after which the device shall perform a LBT operation. Whether to allow No LBT initiate a COT and whether need to revise COT length for No LBT operation will need to be further discussed and determined.</w:t>
      </w:r>
    </w:p>
    <w:p w:rsidR="00494751" w:rsidRDefault="004937C7">
      <w:pPr>
        <w:jc w:val="both"/>
        <w:rPr>
          <w:rFonts w:eastAsia="宋体"/>
          <w:b/>
          <w:bCs/>
          <w:sz w:val="21"/>
          <w:szCs w:val="22"/>
          <w:lang w:val="en-US" w:eastAsia="zh-CN"/>
        </w:rPr>
      </w:pPr>
      <w:r>
        <w:rPr>
          <w:rFonts w:eastAsia="宋体" w:hint="eastAsia"/>
          <w:b/>
          <w:bCs/>
          <w:sz w:val="21"/>
          <w:szCs w:val="22"/>
          <w:lang w:val="en-US" w:eastAsia="zh-CN"/>
        </w:rPr>
        <w:t xml:space="preserve">Equivalent Isotropically Radiated Power (EIRP) and Power Spectral Density (PSD) </w:t>
      </w:r>
    </w:p>
    <w:p w:rsidR="00494751" w:rsidRDefault="004937C7">
      <w:pPr>
        <w:jc w:val="both"/>
        <w:rPr>
          <w:lang w:val="en-US" w:eastAsia="zh-CN"/>
        </w:rPr>
      </w:pPr>
      <w:r>
        <w:rPr>
          <w:rFonts w:hint="eastAsia"/>
          <w:lang w:val="en-US" w:eastAsia="zh-CN"/>
        </w:rPr>
        <w:t>In TR 38.807 [4], the following regulatory requirements in different regions were provided:</w:t>
      </w:r>
    </w:p>
    <w:tbl>
      <w:tblPr>
        <w:tblStyle w:val="TableGrid"/>
        <w:tblW w:w="0" w:type="auto"/>
        <w:jc w:val="center"/>
        <w:tblLayout w:type="fixed"/>
        <w:tblLook w:val="04A0" w:firstRow="1" w:lastRow="0" w:firstColumn="1" w:lastColumn="0" w:noHBand="0" w:noVBand="1"/>
      </w:tblPr>
      <w:tblGrid>
        <w:gridCol w:w="1039"/>
        <w:gridCol w:w="1799"/>
        <w:gridCol w:w="3993"/>
        <w:gridCol w:w="2028"/>
      </w:tblGrid>
      <w:tr w:rsidR="00494751" w:rsidTr="00D77BF6">
        <w:trPr>
          <w:jc w:val="center"/>
        </w:trPr>
        <w:tc>
          <w:tcPr>
            <w:tcW w:w="1039" w:type="dxa"/>
            <w:shd w:val="clear" w:color="auto" w:fill="E2EFD9" w:themeFill="accent6" w:themeFillTint="32"/>
            <w:vAlign w:val="center"/>
          </w:tcPr>
          <w:p w:rsidR="00494751" w:rsidRPr="00D77BF6" w:rsidRDefault="004937C7">
            <w:pPr>
              <w:spacing w:after="0" w:line="240" w:lineRule="auto"/>
              <w:jc w:val="center"/>
              <w:rPr>
                <w:b/>
                <w:bCs/>
                <w:sz w:val="16"/>
                <w:szCs w:val="16"/>
                <w:lang w:val="en-US" w:eastAsia="zh-CN"/>
              </w:rPr>
            </w:pPr>
            <w:r w:rsidRPr="00D77BF6">
              <w:rPr>
                <w:b/>
                <w:bCs/>
                <w:sz w:val="16"/>
                <w:szCs w:val="16"/>
                <w:lang w:val="en-US" w:eastAsia="zh-CN"/>
              </w:rPr>
              <w:t>Country</w:t>
            </w:r>
          </w:p>
        </w:tc>
        <w:tc>
          <w:tcPr>
            <w:tcW w:w="1799" w:type="dxa"/>
            <w:shd w:val="clear" w:color="auto" w:fill="E2EFD9" w:themeFill="accent6" w:themeFillTint="32"/>
            <w:vAlign w:val="center"/>
          </w:tcPr>
          <w:p w:rsidR="00494751" w:rsidRPr="00D77BF6" w:rsidRDefault="004937C7">
            <w:pPr>
              <w:spacing w:after="0" w:line="240" w:lineRule="auto"/>
              <w:jc w:val="center"/>
              <w:rPr>
                <w:b/>
                <w:bCs/>
                <w:sz w:val="16"/>
                <w:szCs w:val="16"/>
                <w:lang w:val="en-US" w:eastAsia="zh-CN"/>
              </w:rPr>
            </w:pPr>
            <w:r w:rsidRPr="00D77BF6">
              <w:rPr>
                <w:b/>
                <w:bCs/>
                <w:sz w:val="16"/>
                <w:szCs w:val="16"/>
                <w:lang w:val="en-US" w:eastAsia="zh-CN"/>
              </w:rPr>
              <w:t>Frequency band (GHz)</w:t>
            </w:r>
          </w:p>
        </w:tc>
        <w:tc>
          <w:tcPr>
            <w:tcW w:w="3993" w:type="dxa"/>
            <w:shd w:val="clear" w:color="auto" w:fill="E2EFD9" w:themeFill="accent6" w:themeFillTint="32"/>
            <w:vAlign w:val="center"/>
          </w:tcPr>
          <w:p w:rsidR="00494751" w:rsidRPr="00D77BF6" w:rsidRDefault="004937C7">
            <w:pPr>
              <w:spacing w:after="0" w:line="240" w:lineRule="auto"/>
              <w:jc w:val="center"/>
              <w:rPr>
                <w:b/>
                <w:bCs/>
                <w:sz w:val="16"/>
                <w:szCs w:val="16"/>
                <w:lang w:val="en-US" w:eastAsia="zh-CN"/>
              </w:rPr>
            </w:pPr>
            <w:r w:rsidRPr="00D77BF6">
              <w:rPr>
                <w:b/>
                <w:bCs/>
                <w:sz w:val="16"/>
                <w:szCs w:val="16"/>
                <w:lang w:val="en-US" w:eastAsia="zh-CN"/>
              </w:rPr>
              <w:t>EIRP</w:t>
            </w:r>
          </w:p>
        </w:tc>
        <w:tc>
          <w:tcPr>
            <w:tcW w:w="2028" w:type="dxa"/>
            <w:shd w:val="clear" w:color="auto" w:fill="E2EFD9" w:themeFill="accent6" w:themeFillTint="32"/>
            <w:vAlign w:val="center"/>
          </w:tcPr>
          <w:p w:rsidR="00494751" w:rsidRPr="00D77BF6" w:rsidRDefault="004937C7">
            <w:pPr>
              <w:spacing w:after="0" w:line="240" w:lineRule="auto"/>
              <w:jc w:val="center"/>
              <w:rPr>
                <w:b/>
                <w:bCs/>
                <w:sz w:val="16"/>
                <w:szCs w:val="16"/>
                <w:lang w:val="en-US" w:eastAsia="zh-CN"/>
              </w:rPr>
            </w:pPr>
            <w:r w:rsidRPr="00D77BF6">
              <w:rPr>
                <w:b/>
                <w:bCs/>
                <w:sz w:val="16"/>
                <w:szCs w:val="16"/>
                <w:lang w:val="en-US" w:eastAsia="zh-CN"/>
              </w:rPr>
              <w:t>PSD</w:t>
            </w:r>
          </w:p>
        </w:tc>
      </w:tr>
      <w:tr w:rsidR="00494751" w:rsidTr="00D77BF6">
        <w:trPr>
          <w:trHeight w:val="228"/>
          <w:jc w:val="center"/>
        </w:trPr>
        <w:tc>
          <w:tcPr>
            <w:tcW w:w="103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Europe</w:t>
            </w:r>
          </w:p>
        </w:tc>
        <w:tc>
          <w:tcPr>
            <w:tcW w:w="179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57-66</w:t>
            </w:r>
          </w:p>
        </w:tc>
        <w:tc>
          <w:tcPr>
            <w:tcW w:w="3993"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Mean EIRP = 40dBm</w:t>
            </w:r>
          </w:p>
        </w:tc>
        <w:tc>
          <w:tcPr>
            <w:tcW w:w="2028"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13 dBm/MHz</w:t>
            </w:r>
          </w:p>
        </w:tc>
      </w:tr>
      <w:tr w:rsidR="00494751" w:rsidTr="00D77BF6">
        <w:trPr>
          <w:jc w:val="center"/>
        </w:trPr>
        <w:tc>
          <w:tcPr>
            <w:tcW w:w="1039"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rPr>
              <w:t>South Africa</w:t>
            </w:r>
          </w:p>
        </w:tc>
        <w:tc>
          <w:tcPr>
            <w:tcW w:w="179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57-64</w:t>
            </w:r>
          </w:p>
        </w:tc>
        <w:tc>
          <w:tcPr>
            <w:tcW w:w="3993"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Max EIRP 55dBm</w:t>
            </w:r>
          </w:p>
          <w:p w:rsidR="00494751" w:rsidRPr="00D77BF6" w:rsidRDefault="004937C7">
            <w:pPr>
              <w:spacing w:after="0" w:line="240" w:lineRule="auto"/>
              <w:jc w:val="center"/>
              <w:rPr>
                <w:sz w:val="16"/>
                <w:szCs w:val="16"/>
                <w:lang w:val="en-US" w:eastAsia="zh-CN"/>
              </w:rPr>
            </w:pPr>
            <w:r w:rsidRPr="00D77BF6">
              <w:rPr>
                <w:sz w:val="16"/>
                <w:szCs w:val="16"/>
                <w:lang w:val="en-US" w:eastAsia="zh-CN"/>
              </w:rPr>
              <w:t>Max Tx power 10dBm.</w:t>
            </w:r>
          </w:p>
          <w:p w:rsidR="00494751" w:rsidRPr="00D77BF6" w:rsidRDefault="004937C7">
            <w:pPr>
              <w:spacing w:after="0" w:line="240" w:lineRule="auto"/>
              <w:jc w:val="center"/>
              <w:rPr>
                <w:sz w:val="16"/>
                <w:szCs w:val="16"/>
                <w:lang w:val="en-US" w:eastAsia="zh-CN"/>
              </w:rPr>
            </w:pPr>
            <w:r w:rsidRPr="00D77BF6">
              <w:rPr>
                <w:sz w:val="16"/>
                <w:szCs w:val="16"/>
                <w:lang w:val="en-US" w:eastAsia="zh-CN"/>
              </w:rPr>
              <w:t>Min antenna gain 30dBi.</w:t>
            </w:r>
          </w:p>
        </w:tc>
        <w:tc>
          <w:tcPr>
            <w:tcW w:w="2028"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w:t>
            </w:r>
          </w:p>
        </w:tc>
      </w:tr>
      <w:tr w:rsidR="00494751" w:rsidTr="00D77BF6">
        <w:trPr>
          <w:jc w:val="center"/>
        </w:trPr>
        <w:tc>
          <w:tcPr>
            <w:tcW w:w="1039" w:type="dxa"/>
            <w:vMerge/>
            <w:vAlign w:val="center"/>
          </w:tcPr>
          <w:p w:rsidR="00494751" w:rsidRPr="00D77BF6" w:rsidRDefault="00494751">
            <w:pPr>
              <w:spacing w:after="0" w:line="240" w:lineRule="auto"/>
              <w:jc w:val="center"/>
              <w:rPr>
                <w:sz w:val="16"/>
                <w:szCs w:val="16"/>
                <w:lang w:val="en-US" w:eastAsia="zh-CN"/>
              </w:rPr>
            </w:pPr>
          </w:p>
        </w:tc>
        <w:tc>
          <w:tcPr>
            <w:tcW w:w="179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57-66</w:t>
            </w:r>
          </w:p>
        </w:tc>
        <w:tc>
          <w:tcPr>
            <w:tcW w:w="3993"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Max EIRP 40dBm</w:t>
            </w:r>
          </w:p>
        </w:tc>
        <w:tc>
          <w:tcPr>
            <w:tcW w:w="2028"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w:t>
            </w:r>
          </w:p>
        </w:tc>
      </w:tr>
      <w:tr w:rsidR="00494751" w:rsidTr="00D77BF6">
        <w:trPr>
          <w:jc w:val="center"/>
        </w:trPr>
        <w:tc>
          <w:tcPr>
            <w:tcW w:w="1039"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USA</w:t>
            </w:r>
          </w:p>
        </w:tc>
        <w:tc>
          <w:tcPr>
            <w:tcW w:w="1799"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57-71</w:t>
            </w:r>
          </w:p>
        </w:tc>
        <w:tc>
          <w:tcPr>
            <w:tcW w:w="3993" w:type="dxa"/>
            <w:vAlign w:val="center"/>
          </w:tcPr>
          <w:p w:rsidR="00494751" w:rsidRPr="00D77BF6" w:rsidRDefault="004937C7">
            <w:pPr>
              <w:spacing w:after="0" w:line="240" w:lineRule="auto"/>
              <w:jc w:val="both"/>
              <w:rPr>
                <w:sz w:val="16"/>
                <w:szCs w:val="16"/>
                <w:lang w:val="en-US" w:eastAsia="zh-CN"/>
              </w:rPr>
            </w:pPr>
            <w:r w:rsidRPr="00D77BF6">
              <w:rPr>
                <w:sz w:val="16"/>
                <w:szCs w:val="16"/>
                <w:lang w:val="en-US" w:eastAsia="zh-CN"/>
              </w:rPr>
              <w:t>Indoor:</w:t>
            </w:r>
          </w:p>
          <w:p w:rsidR="00494751" w:rsidRPr="00D77BF6" w:rsidRDefault="004937C7">
            <w:pPr>
              <w:spacing w:after="0" w:line="240" w:lineRule="auto"/>
              <w:jc w:val="center"/>
              <w:rPr>
                <w:sz w:val="16"/>
                <w:szCs w:val="16"/>
                <w:lang w:val="en-US" w:eastAsia="zh-CN"/>
              </w:rPr>
            </w:pPr>
            <w:r w:rsidRPr="00D77BF6">
              <w:rPr>
                <w:sz w:val="16"/>
                <w:szCs w:val="16"/>
                <w:lang w:val="en-US" w:eastAsia="zh-CN"/>
              </w:rPr>
              <w:t>Max avg, EIRP 40dBm</w:t>
            </w:r>
          </w:p>
          <w:p w:rsidR="00494751" w:rsidRPr="00D77BF6" w:rsidRDefault="004937C7">
            <w:pPr>
              <w:spacing w:after="0" w:line="240" w:lineRule="auto"/>
              <w:jc w:val="center"/>
              <w:rPr>
                <w:sz w:val="16"/>
                <w:szCs w:val="16"/>
                <w:lang w:val="en-US" w:eastAsia="zh-CN"/>
              </w:rPr>
            </w:pPr>
            <w:r w:rsidRPr="00D77BF6">
              <w:rPr>
                <w:sz w:val="16"/>
                <w:szCs w:val="16"/>
                <w:lang w:val="en-US" w:eastAsia="zh-CN"/>
              </w:rPr>
              <w:t>Max peak EIRP 43dBm</w:t>
            </w:r>
          </w:p>
          <w:p w:rsidR="00494751" w:rsidRPr="00D77BF6" w:rsidRDefault="00494751">
            <w:pPr>
              <w:spacing w:after="0" w:line="240" w:lineRule="auto"/>
              <w:jc w:val="both"/>
              <w:rPr>
                <w:sz w:val="16"/>
                <w:szCs w:val="16"/>
                <w:lang w:val="en-US" w:eastAsia="zh-CN"/>
              </w:rPr>
            </w:pPr>
          </w:p>
        </w:tc>
        <w:tc>
          <w:tcPr>
            <w:tcW w:w="2028"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w:t>
            </w:r>
          </w:p>
        </w:tc>
      </w:tr>
      <w:tr w:rsidR="00494751" w:rsidTr="00D77BF6">
        <w:trPr>
          <w:jc w:val="center"/>
        </w:trPr>
        <w:tc>
          <w:tcPr>
            <w:tcW w:w="1039" w:type="dxa"/>
            <w:vMerge/>
            <w:vAlign w:val="center"/>
          </w:tcPr>
          <w:p w:rsidR="00494751" w:rsidRPr="00D77BF6" w:rsidRDefault="00494751">
            <w:pPr>
              <w:spacing w:after="0" w:line="240" w:lineRule="auto"/>
              <w:jc w:val="center"/>
              <w:rPr>
                <w:sz w:val="16"/>
                <w:szCs w:val="16"/>
                <w:lang w:val="en-US" w:eastAsia="zh-CN"/>
              </w:rPr>
            </w:pPr>
          </w:p>
        </w:tc>
        <w:tc>
          <w:tcPr>
            <w:tcW w:w="1799" w:type="dxa"/>
            <w:vMerge/>
            <w:vAlign w:val="center"/>
          </w:tcPr>
          <w:p w:rsidR="00494751" w:rsidRPr="00D77BF6" w:rsidRDefault="00494751">
            <w:pPr>
              <w:spacing w:after="0" w:line="240" w:lineRule="auto"/>
              <w:jc w:val="center"/>
              <w:rPr>
                <w:sz w:val="16"/>
                <w:szCs w:val="16"/>
                <w:lang w:val="en-US" w:eastAsia="zh-CN"/>
              </w:rPr>
            </w:pPr>
          </w:p>
        </w:tc>
        <w:tc>
          <w:tcPr>
            <w:tcW w:w="3993" w:type="dxa"/>
            <w:vAlign w:val="center"/>
          </w:tcPr>
          <w:p w:rsidR="00494751" w:rsidRPr="00D77BF6" w:rsidRDefault="004937C7">
            <w:pPr>
              <w:spacing w:after="0" w:line="240" w:lineRule="auto"/>
              <w:jc w:val="both"/>
              <w:rPr>
                <w:sz w:val="16"/>
                <w:szCs w:val="16"/>
                <w:lang w:val="en-US" w:eastAsia="zh-CN"/>
              </w:rPr>
            </w:pPr>
            <w:r w:rsidRPr="00D77BF6">
              <w:rPr>
                <w:sz w:val="16"/>
                <w:szCs w:val="16"/>
                <w:lang w:val="en-US" w:eastAsia="zh-CN"/>
              </w:rPr>
              <w:t>Outdoor:</w:t>
            </w:r>
          </w:p>
          <w:p w:rsidR="00494751" w:rsidRPr="00D77BF6" w:rsidRDefault="004937C7">
            <w:pPr>
              <w:spacing w:after="0" w:line="240" w:lineRule="auto"/>
              <w:jc w:val="center"/>
              <w:rPr>
                <w:sz w:val="16"/>
                <w:szCs w:val="16"/>
                <w:lang w:val="en-US" w:eastAsia="zh-CN"/>
              </w:rPr>
            </w:pPr>
            <w:r w:rsidRPr="00D77BF6">
              <w:rPr>
                <w:sz w:val="16"/>
                <w:szCs w:val="16"/>
                <w:lang w:val="en-US" w:eastAsia="zh-CN"/>
              </w:rPr>
              <w:t>Max avg. EIRP (82 – 2N) dBm</w:t>
            </w:r>
          </w:p>
          <w:p w:rsidR="00494751" w:rsidRPr="00D77BF6" w:rsidRDefault="004937C7">
            <w:pPr>
              <w:spacing w:after="0" w:line="240" w:lineRule="auto"/>
              <w:jc w:val="center"/>
              <w:rPr>
                <w:sz w:val="16"/>
                <w:szCs w:val="16"/>
                <w:lang w:val="en-US" w:eastAsia="zh-CN"/>
              </w:rPr>
            </w:pPr>
            <w:r w:rsidRPr="00D77BF6">
              <w:rPr>
                <w:sz w:val="16"/>
                <w:szCs w:val="16"/>
                <w:lang w:val="en-US" w:eastAsia="zh-CN"/>
              </w:rPr>
              <w:lastRenderedPageBreak/>
              <w:t>Max peak EIRP (85 – 2N) dBm.</w:t>
            </w:r>
          </w:p>
          <w:p w:rsidR="00494751" w:rsidRPr="00D77BF6" w:rsidRDefault="004937C7">
            <w:pPr>
              <w:spacing w:after="0" w:line="240" w:lineRule="auto"/>
              <w:jc w:val="center"/>
              <w:rPr>
                <w:sz w:val="16"/>
                <w:szCs w:val="16"/>
                <w:lang w:val="en-US" w:eastAsia="zh-CN"/>
              </w:rPr>
            </w:pPr>
            <w:r w:rsidRPr="00D77BF6">
              <w:rPr>
                <w:sz w:val="16"/>
                <w:szCs w:val="16"/>
                <w:lang w:val="en-US" w:eastAsia="zh-CN"/>
              </w:rPr>
              <w:t>N = max(0, 51 dBi – antenna-gain)</w:t>
            </w:r>
          </w:p>
        </w:tc>
        <w:tc>
          <w:tcPr>
            <w:tcW w:w="2028" w:type="dxa"/>
            <w:vMerge/>
            <w:vAlign w:val="center"/>
          </w:tcPr>
          <w:p w:rsidR="00494751" w:rsidRPr="00D77BF6" w:rsidRDefault="00494751">
            <w:pPr>
              <w:spacing w:after="0" w:line="240" w:lineRule="auto"/>
              <w:jc w:val="center"/>
              <w:rPr>
                <w:sz w:val="16"/>
                <w:szCs w:val="16"/>
                <w:lang w:val="en-US" w:eastAsia="zh-CN"/>
              </w:rPr>
            </w:pPr>
          </w:p>
        </w:tc>
      </w:tr>
      <w:tr w:rsidR="00494751" w:rsidTr="00D77BF6">
        <w:trPr>
          <w:jc w:val="center"/>
        </w:trPr>
        <w:tc>
          <w:tcPr>
            <w:tcW w:w="1039"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rPr>
              <w:t>Canada</w:t>
            </w:r>
          </w:p>
        </w:tc>
        <w:tc>
          <w:tcPr>
            <w:tcW w:w="1799"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57-64</w:t>
            </w:r>
          </w:p>
        </w:tc>
        <w:tc>
          <w:tcPr>
            <w:tcW w:w="3993" w:type="dxa"/>
            <w:vAlign w:val="center"/>
          </w:tcPr>
          <w:p w:rsidR="00494751" w:rsidRPr="00D77BF6" w:rsidRDefault="004937C7">
            <w:pPr>
              <w:spacing w:after="0" w:line="240" w:lineRule="auto"/>
              <w:jc w:val="both"/>
              <w:rPr>
                <w:sz w:val="16"/>
                <w:szCs w:val="16"/>
                <w:lang w:val="en-US" w:eastAsia="zh-CN"/>
              </w:rPr>
            </w:pPr>
            <w:r w:rsidRPr="00D77BF6">
              <w:rPr>
                <w:sz w:val="16"/>
                <w:szCs w:val="16"/>
                <w:lang w:val="en-US" w:eastAsia="zh-CN"/>
              </w:rPr>
              <w:t xml:space="preserve">Indoor: </w:t>
            </w:r>
          </w:p>
          <w:p w:rsidR="00494751" w:rsidRPr="00D77BF6" w:rsidRDefault="004937C7">
            <w:pPr>
              <w:spacing w:after="0" w:line="240" w:lineRule="auto"/>
              <w:jc w:val="center"/>
              <w:rPr>
                <w:sz w:val="16"/>
                <w:szCs w:val="16"/>
                <w:lang w:val="en-US" w:eastAsia="zh-CN"/>
              </w:rPr>
            </w:pPr>
            <w:r w:rsidRPr="00D77BF6">
              <w:rPr>
                <w:sz w:val="16"/>
                <w:szCs w:val="16"/>
                <w:lang w:val="en-US" w:eastAsia="zh-CN"/>
              </w:rPr>
              <w:t>40dBm avg/43dBm Peak</w:t>
            </w:r>
          </w:p>
        </w:tc>
        <w:tc>
          <w:tcPr>
            <w:tcW w:w="2028" w:type="dxa"/>
            <w:vMerge w:val="restart"/>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w:t>
            </w:r>
          </w:p>
        </w:tc>
      </w:tr>
      <w:tr w:rsidR="00494751" w:rsidTr="00D77BF6">
        <w:trPr>
          <w:jc w:val="center"/>
        </w:trPr>
        <w:tc>
          <w:tcPr>
            <w:tcW w:w="1039" w:type="dxa"/>
            <w:vMerge/>
            <w:vAlign w:val="center"/>
          </w:tcPr>
          <w:p w:rsidR="00494751" w:rsidRPr="00D77BF6" w:rsidRDefault="00494751">
            <w:pPr>
              <w:spacing w:after="0" w:line="240" w:lineRule="auto"/>
              <w:jc w:val="center"/>
              <w:rPr>
                <w:sz w:val="16"/>
                <w:szCs w:val="16"/>
                <w:lang w:val="en-US" w:eastAsia="zh-CN"/>
              </w:rPr>
            </w:pPr>
          </w:p>
        </w:tc>
        <w:tc>
          <w:tcPr>
            <w:tcW w:w="1799" w:type="dxa"/>
            <w:vMerge/>
            <w:vAlign w:val="center"/>
          </w:tcPr>
          <w:p w:rsidR="00494751" w:rsidRPr="00D77BF6" w:rsidRDefault="00494751">
            <w:pPr>
              <w:spacing w:after="0" w:line="240" w:lineRule="auto"/>
              <w:jc w:val="center"/>
              <w:rPr>
                <w:sz w:val="16"/>
                <w:szCs w:val="16"/>
                <w:lang w:val="en-US" w:eastAsia="zh-CN"/>
              </w:rPr>
            </w:pPr>
          </w:p>
        </w:tc>
        <w:tc>
          <w:tcPr>
            <w:tcW w:w="3993" w:type="dxa"/>
            <w:vAlign w:val="center"/>
          </w:tcPr>
          <w:p w:rsidR="00494751" w:rsidRPr="00D77BF6" w:rsidRDefault="004937C7">
            <w:pPr>
              <w:spacing w:after="0" w:line="240" w:lineRule="auto"/>
              <w:jc w:val="both"/>
              <w:rPr>
                <w:sz w:val="16"/>
                <w:szCs w:val="16"/>
                <w:lang w:val="en-US" w:eastAsia="zh-CN"/>
              </w:rPr>
            </w:pPr>
            <w:r w:rsidRPr="00D77BF6">
              <w:rPr>
                <w:sz w:val="16"/>
                <w:szCs w:val="16"/>
                <w:lang w:val="en-US" w:eastAsia="zh-CN"/>
              </w:rPr>
              <w:t xml:space="preserve">Outdoor PtP: </w:t>
            </w:r>
          </w:p>
          <w:p w:rsidR="00494751" w:rsidRPr="00D77BF6" w:rsidRDefault="004937C7">
            <w:pPr>
              <w:spacing w:after="0" w:line="240" w:lineRule="auto"/>
              <w:jc w:val="center"/>
              <w:rPr>
                <w:sz w:val="16"/>
                <w:szCs w:val="16"/>
                <w:lang w:val="en-US" w:eastAsia="zh-CN"/>
              </w:rPr>
            </w:pPr>
            <w:r w:rsidRPr="00D77BF6">
              <w:rPr>
                <w:sz w:val="16"/>
                <w:szCs w:val="16"/>
                <w:lang w:val="en-US" w:eastAsia="zh-CN"/>
              </w:rPr>
              <w:t>82dBm when Gant&gt;51dBi;</w:t>
            </w:r>
          </w:p>
          <w:p w:rsidR="00494751" w:rsidRPr="00D77BF6" w:rsidRDefault="004937C7">
            <w:pPr>
              <w:spacing w:after="0" w:line="240" w:lineRule="auto"/>
              <w:jc w:val="center"/>
              <w:rPr>
                <w:sz w:val="16"/>
                <w:szCs w:val="16"/>
                <w:lang w:val="en-US" w:eastAsia="zh-CN"/>
              </w:rPr>
            </w:pPr>
            <w:r w:rsidRPr="00D77BF6">
              <w:rPr>
                <w:sz w:val="16"/>
                <w:szCs w:val="16"/>
                <w:lang w:val="en-US" w:eastAsia="zh-CN"/>
              </w:rPr>
              <w:t>82-2× (51-Gant) when Gant</w:t>
            </w:r>
            <w:r w:rsidRPr="00D77BF6">
              <w:rPr>
                <w:rFonts w:hint="eastAsia"/>
                <w:sz w:val="16"/>
                <w:szCs w:val="16"/>
                <w:lang w:val="en-US" w:eastAsia="zh-CN"/>
              </w:rPr>
              <w:t>≤</w:t>
            </w:r>
            <w:r w:rsidRPr="00D77BF6">
              <w:rPr>
                <w:sz w:val="16"/>
                <w:szCs w:val="16"/>
                <w:lang w:val="en-US" w:eastAsia="zh-CN"/>
              </w:rPr>
              <w:t>51dBi</w:t>
            </w:r>
          </w:p>
        </w:tc>
        <w:tc>
          <w:tcPr>
            <w:tcW w:w="2028" w:type="dxa"/>
            <w:vMerge/>
            <w:vAlign w:val="center"/>
          </w:tcPr>
          <w:p w:rsidR="00494751" w:rsidRPr="00D77BF6" w:rsidRDefault="00494751">
            <w:pPr>
              <w:spacing w:after="0" w:line="240" w:lineRule="auto"/>
              <w:jc w:val="center"/>
              <w:rPr>
                <w:sz w:val="16"/>
                <w:szCs w:val="16"/>
                <w:lang w:val="en-US" w:eastAsia="zh-CN"/>
              </w:rPr>
            </w:pPr>
          </w:p>
        </w:tc>
      </w:tr>
      <w:tr w:rsidR="00494751" w:rsidTr="00D77BF6">
        <w:trPr>
          <w:jc w:val="center"/>
        </w:trPr>
        <w:tc>
          <w:tcPr>
            <w:tcW w:w="103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Brazil</w:t>
            </w:r>
          </w:p>
        </w:tc>
        <w:tc>
          <w:tcPr>
            <w:tcW w:w="1799" w:type="dxa"/>
            <w:vMerge/>
            <w:vAlign w:val="center"/>
          </w:tcPr>
          <w:p w:rsidR="00494751" w:rsidRPr="00D77BF6" w:rsidRDefault="00494751">
            <w:pPr>
              <w:spacing w:after="0" w:line="240" w:lineRule="auto"/>
              <w:jc w:val="center"/>
              <w:rPr>
                <w:sz w:val="16"/>
                <w:szCs w:val="16"/>
                <w:lang w:val="en-US" w:eastAsia="zh-CN"/>
              </w:rPr>
            </w:pPr>
          </w:p>
        </w:tc>
        <w:tc>
          <w:tcPr>
            <w:tcW w:w="3993" w:type="dxa"/>
            <w:vAlign w:val="center"/>
          </w:tcPr>
          <w:p w:rsidR="00494751" w:rsidRPr="00D77BF6" w:rsidRDefault="004937C7">
            <w:pPr>
              <w:pStyle w:val="TAL"/>
              <w:keepNext w:val="0"/>
              <w:keepLines w:val="0"/>
              <w:rPr>
                <w:rFonts w:ascii="Times New Roman" w:hAnsi="Times New Roman"/>
                <w:sz w:val="16"/>
                <w:szCs w:val="16"/>
              </w:rPr>
            </w:pPr>
            <w:r w:rsidRPr="00D77BF6">
              <w:rPr>
                <w:rFonts w:ascii="Times New Roman" w:hAnsi="Times New Roman"/>
                <w:sz w:val="16"/>
                <w:szCs w:val="16"/>
              </w:rPr>
              <w:t>T</w:t>
            </w:r>
            <w:r w:rsidRPr="00D77BF6">
              <w:rPr>
                <w:rFonts w:ascii="Times New Roman" w:eastAsia="Times New Roman" w:hAnsi="Times New Roman"/>
                <w:sz w:val="16"/>
                <w:szCs w:val="16"/>
                <w:lang w:val="en-US" w:eastAsia="zh-CN"/>
              </w:rPr>
              <w:t xml:space="preserve">otal Peak Power at transmitter output </w:t>
            </w:r>
            <w:r w:rsidRPr="00D77BF6">
              <w:rPr>
                <w:rFonts w:ascii="Times New Roman" w:eastAsia="Times New Roman" w:hAnsi="Times New Roman" w:hint="eastAsia"/>
                <w:sz w:val="16"/>
                <w:szCs w:val="16"/>
                <w:lang w:val="en-US" w:eastAsia="zh-CN"/>
              </w:rPr>
              <w:t>≤</w:t>
            </w:r>
            <w:r w:rsidRPr="00D77BF6">
              <w:rPr>
                <w:rFonts w:ascii="Times New Roman" w:eastAsia="Times New Roman" w:hAnsi="Times New Roman"/>
                <w:sz w:val="16"/>
                <w:szCs w:val="16"/>
                <w:lang w:val="en-US" w:eastAsia="zh-CN"/>
              </w:rPr>
              <w:t xml:space="preserve"> 27dBm (500mW)</w:t>
            </w:r>
          </w:p>
        </w:tc>
        <w:tc>
          <w:tcPr>
            <w:tcW w:w="2028" w:type="dxa"/>
            <w:vAlign w:val="center"/>
          </w:tcPr>
          <w:p w:rsidR="00494751" w:rsidRPr="00D77BF6" w:rsidRDefault="004937C7">
            <w:pPr>
              <w:spacing w:after="0" w:line="240" w:lineRule="auto"/>
              <w:jc w:val="center"/>
              <w:rPr>
                <w:sz w:val="16"/>
                <w:szCs w:val="16"/>
              </w:rPr>
            </w:pPr>
            <w:r w:rsidRPr="00D77BF6">
              <w:rPr>
                <w:sz w:val="16"/>
                <w:szCs w:val="16"/>
              </w:rPr>
              <w:t>Max avg. Power Density:</w:t>
            </w:r>
            <w:r w:rsidRPr="00D77BF6">
              <w:rPr>
                <w:rFonts w:eastAsia="宋体"/>
                <w:sz w:val="16"/>
                <w:szCs w:val="16"/>
                <w:lang w:val="en-US" w:eastAsia="zh-CN"/>
              </w:rPr>
              <w:t xml:space="preserve"> </w:t>
            </w:r>
            <w:r w:rsidRPr="00D77BF6">
              <w:rPr>
                <w:sz w:val="16"/>
                <w:szCs w:val="16"/>
              </w:rPr>
              <w:t>9 microW/cm^2 @3m</w:t>
            </w:r>
            <w:r w:rsidRPr="00D77BF6">
              <w:rPr>
                <w:sz w:val="16"/>
                <w:szCs w:val="16"/>
              </w:rPr>
              <w:br/>
            </w:r>
            <w:r w:rsidRPr="00D77BF6">
              <w:rPr>
                <w:sz w:val="16"/>
                <w:szCs w:val="16"/>
              </w:rPr>
              <w:br/>
              <w:t>Max peak Power Density: 18 microW/cm^2 @3m</w:t>
            </w:r>
          </w:p>
        </w:tc>
      </w:tr>
      <w:tr w:rsidR="00494751" w:rsidTr="00D77BF6">
        <w:trPr>
          <w:jc w:val="center"/>
        </w:trPr>
        <w:tc>
          <w:tcPr>
            <w:tcW w:w="103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China</w:t>
            </w:r>
          </w:p>
        </w:tc>
        <w:tc>
          <w:tcPr>
            <w:tcW w:w="1799" w:type="dxa"/>
            <w:vAlign w:val="center"/>
          </w:tcPr>
          <w:p w:rsidR="00494751" w:rsidRPr="00D77BF6" w:rsidRDefault="004937C7">
            <w:pPr>
              <w:spacing w:after="0" w:line="240" w:lineRule="auto"/>
              <w:jc w:val="center"/>
              <w:rPr>
                <w:rFonts w:eastAsia="宋体"/>
                <w:sz w:val="16"/>
                <w:szCs w:val="16"/>
                <w:lang w:val="en-US" w:eastAsia="zh-CN"/>
              </w:rPr>
            </w:pPr>
            <w:r w:rsidRPr="00D77BF6">
              <w:rPr>
                <w:rFonts w:eastAsia="宋体"/>
                <w:sz w:val="16"/>
                <w:szCs w:val="16"/>
                <w:lang w:val="en-US" w:eastAsia="zh-CN"/>
              </w:rPr>
              <w:t>59-64</w:t>
            </w:r>
          </w:p>
        </w:tc>
        <w:tc>
          <w:tcPr>
            <w:tcW w:w="3993" w:type="dxa"/>
            <w:vAlign w:val="center"/>
          </w:tcPr>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 xml:space="preserve">Output power of antenna port: </w:t>
            </w:r>
            <w:r w:rsidRPr="00D77BF6">
              <w:rPr>
                <w:rFonts w:ascii="Times New Roman" w:hAnsi="Times New Roman" w:hint="eastAsia"/>
                <w:sz w:val="16"/>
                <w:szCs w:val="16"/>
              </w:rPr>
              <w:t>≤</w:t>
            </w:r>
            <w:r w:rsidRPr="00D77BF6">
              <w:rPr>
                <w:rFonts w:ascii="Times New Roman" w:hAnsi="Times New Roman"/>
                <w:sz w:val="16"/>
                <w:szCs w:val="16"/>
              </w:rPr>
              <w:t xml:space="preserve"> 10 dBm</w:t>
            </w:r>
          </w:p>
          <w:p w:rsidR="00494751" w:rsidRPr="00D77BF6" w:rsidRDefault="00494751">
            <w:pPr>
              <w:pStyle w:val="TAL"/>
              <w:keepNext w:val="0"/>
              <w:keepLines w:val="0"/>
              <w:jc w:val="center"/>
              <w:rPr>
                <w:rFonts w:ascii="Times New Roman" w:hAnsi="Times New Roman"/>
                <w:sz w:val="16"/>
                <w:szCs w:val="16"/>
              </w:rPr>
            </w:pPr>
          </w:p>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Peak  EIRP: 47dBm</w:t>
            </w:r>
          </w:p>
          <w:p w:rsidR="00494751" w:rsidRPr="00D77BF6" w:rsidRDefault="004937C7">
            <w:pPr>
              <w:spacing w:after="0" w:line="240" w:lineRule="auto"/>
              <w:jc w:val="center"/>
              <w:rPr>
                <w:sz w:val="16"/>
                <w:szCs w:val="16"/>
              </w:rPr>
            </w:pPr>
            <w:r w:rsidRPr="00D77BF6">
              <w:rPr>
                <w:sz w:val="16"/>
                <w:szCs w:val="16"/>
              </w:rPr>
              <w:t xml:space="preserve">Mean EIRP: </w:t>
            </w:r>
            <w:r w:rsidRPr="00D77BF6">
              <w:rPr>
                <w:rFonts w:hint="eastAsia"/>
                <w:sz w:val="16"/>
                <w:szCs w:val="16"/>
              </w:rPr>
              <w:t>≤</w:t>
            </w:r>
            <w:r w:rsidRPr="00D77BF6">
              <w:rPr>
                <w:sz w:val="16"/>
                <w:szCs w:val="16"/>
              </w:rPr>
              <w:t xml:space="preserve"> 44 dBm</w:t>
            </w:r>
          </w:p>
        </w:tc>
        <w:tc>
          <w:tcPr>
            <w:tcW w:w="2028" w:type="dxa"/>
            <w:vAlign w:val="center"/>
          </w:tcPr>
          <w:p w:rsidR="00494751" w:rsidRPr="00D77BF6" w:rsidRDefault="004937C7">
            <w:pPr>
              <w:spacing w:after="0" w:line="240" w:lineRule="auto"/>
              <w:jc w:val="center"/>
              <w:rPr>
                <w:rFonts w:eastAsia="宋体"/>
                <w:sz w:val="16"/>
                <w:szCs w:val="16"/>
                <w:lang w:val="en-US" w:eastAsia="zh-CN"/>
              </w:rPr>
            </w:pPr>
            <w:r w:rsidRPr="00D77BF6">
              <w:rPr>
                <w:rFonts w:eastAsia="宋体"/>
                <w:sz w:val="16"/>
                <w:szCs w:val="16"/>
                <w:lang w:val="en-US" w:eastAsia="zh-CN"/>
              </w:rPr>
              <w:t>/</w:t>
            </w:r>
          </w:p>
        </w:tc>
      </w:tr>
      <w:tr w:rsidR="00494751" w:rsidTr="00D77BF6">
        <w:trPr>
          <w:jc w:val="center"/>
        </w:trPr>
        <w:tc>
          <w:tcPr>
            <w:tcW w:w="1039" w:type="dxa"/>
            <w:vAlign w:val="center"/>
          </w:tcPr>
          <w:p w:rsidR="00494751" w:rsidRPr="00D77BF6" w:rsidRDefault="004937C7">
            <w:pPr>
              <w:spacing w:after="0" w:line="240" w:lineRule="auto"/>
              <w:jc w:val="center"/>
              <w:rPr>
                <w:sz w:val="16"/>
                <w:szCs w:val="16"/>
                <w:lang w:val="en-US" w:eastAsia="zh-CN"/>
              </w:rPr>
            </w:pPr>
            <w:r w:rsidRPr="00D77BF6">
              <w:rPr>
                <w:sz w:val="16"/>
                <w:szCs w:val="16"/>
                <w:lang w:val="en-US" w:eastAsia="zh-CN"/>
              </w:rPr>
              <w:t>Korea</w:t>
            </w:r>
          </w:p>
        </w:tc>
        <w:tc>
          <w:tcPr>
            <w:tcW w:w="1799" w:type="dxa"/>
            <w:vAlign w:val="center"/>
          </w:tcPr>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57 – 66</w:t>
            </w:r>
          </w:p>
        </w:tc>
        <w:tc>
          <w:tcPr>
            <w:tcW w:w="3993" w:type="dxa"/>
            <w:vAlign w:val="center"/>
          </w:tcPr>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Max Tx power 500mW (beamformed antenna)</w:t>
            </w:r>
          </w:p>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Max Tx power 100mW (omni-direction antenna).</w:t>
            </w:r>
          </w:p>
          <w:p w:rsidR="00494751" w:rsidRPr="00D77BF6" w:rsidRDefault="004937C7">
            <w:pPr>
              <w:pStyle w:val="TAL"/>
              <w:keepNext w:val="0"/>
              <w:keepLines w:val="0"/>
              <w:jc w:val="center"/>
              <w:rPr>
                <w:rFonts w:ascii="Times New Roman" w:hAnsi="Times New Roman"/>
                <w:sz w:val="16"/>
                <w:szCs w:val="16"/>
              </w:rPr>
            </w:pPr>
            <w:r w:rsidRPr="00D77BF6">
              <w:rPr>
                <w:rFonts w:ascii="Times New Roman" w:hAnsi="Times New Roman"/>
                <w:sz w:val="16"/>
                <w:szCs w:val="16"/>
              </w:rPr>
              <w:t>Max PSD 13dBm/MHz</w:t>
            </w:r>
          </w:p>
          <w:p w:rsidR="00494751" w:rsidRPr="00D77BF6" w:rsidRDefault="004937C7">
            <w:pPr>
              <w:pStyle w:val="TAL"/>
              <w:keepNext w:val="0"/>
              <w:keepLines w:val="0"/>
              <w:jc w:val="center"/>
              <w:rPr>
                <w:rFonts w:ascii="Times New Roman" w:hAnsi="Times New Roman"/>
                <w:sz w:val="16"/>
                <w:szCs w:val="16"/>
              </w:rPr>
            </w:pPr>
            <w:r w:rsidRPr="00D77BF6">
              <w:rPr>
                <w:sz w:val="16"/>
                <w:szCs w:val="16"/>
              </w:rPr>
              <w:t>Max EIRP 57dBm</w:t>
            </w:r>
          </w:p>
        </w:tc>
        <w:tc>
          <w:tcPr>
            <w:tcW w:w="2028" w:type="dxa"/>
            <w:vAlign w:val="center"/>
          </w:tcPr>
          <w:p w:rsidR="00494751" w:rsidRPr="00D77BF6" w:rsidRDefault="004937C7">
            <w:pPr>
              <w:spacing w:after="0" w:line="240" w:lineRule="auto"/>
              <w:jc w:val="center"/>
              <w:rPr>
                <w:rFonts w:eastAsia="宋体"/>
                <w:sz w:val="16"/>
                <w:szCs w:val="16"/>
                <w:lang w:val="en-US" w:eastAsia="zh-CN"/>
              </w:rPr>
            </w:pPr>
            <w:r w:rsidRPr="00D77BF6">
              <w:rPr>
                <w:rFonts w:eastAsia="宋体"/>
                <w:sz w:val="16"/>
                <w:szCs w:val="16"/>
                <w:lang w:val="en-US" w:eastAsia="zh-CN"/>
              </w:rPr>
              <w:t>/</w:t>
            </w:r>
          </w:p>
        </w:tc>
      </w:tr>
    </w:tbl>
    <w:p w:rsidR="00494751" w:rsidRDefault="00494751">
      <w:pPr>
        <w:jc w:val="both"/>
        <w:rPr>
          <w:lang w:val="en-US" w:eastAsia="zh-CN"/>
        </w:rPr>
      </w:pPr>
    </w:p>
    <w:p w:rsidR="00494751" w:rsidRDefault="004937C7">
      <w:pPr>
        <w:jc w:val="both"/>
        <w:rPr>
          <w:rFonts w:eastAsia="宋体"/>
          <w:lang w:val="en-US" w:eastAsia="zh-CN"/>
        </w:rPr>
      </w:pPr>
      <w:r>
        <w:rPr>
          <w:rFonts w:hint="eastAsia"/>
          <w:lang w:val="en-US" w:eastAsia="zh-CN"/>
        </w:rPr>
        <w:t>Based on the above requirement in different areas, f</w:t>
      </w:r>
      <w:r>
        <w:rPr>
          <w:rFonts w:eastAsia="宋体" w:hint="eastAsia"/>
          <w:lang w:val="en-US" w:eastAsia="zh-CN"/>
        </w:rPr>
        <w:t>or wideband operation with the limitation of maximum EIRP and PSD, the PSD may be very low due to its total transmission power should be less than or equal to the maximum EIRP limitation, e.g., 40dBm for 57 GHz - 66 GHz band in South Africa. Too lower PSD will impact on NR-U coverage and system performance. Therefore, the challenge is how to solve the bandwidth and PSD problems related to LBT mechanisms for wider bandwidth.</w:t>
      </w:r>
    </w:p>
    <w:p w:rsidR="00494751" w:rsidRDefault="004937C7">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b/>
          <w:bCs/>
          <w:lang w:val="en-US" w:eastAsia="zh-CN"/>
        </w:rPr>
        <w:t>The key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w:t>
      </w:r>
      <w:r>
        <w:rPr>
          <w:rFonts w:eastAsia="宋体" w:hint="eastAsia"/>
          <w:b/>
          <w:bCs/>
          <w:lang w:val="en-US" w:eastAsia="zh-CN"/>
        </w:rPr>
        <w:t xml:space="preserve"> mechanism</w:t>
      </w:r>
      <w:r>
        <w:rPr>
          <w:b/>
          <w:bCs/>
          <w:lang w:val="en-US"/>
        </w:rPr>
        <w:t>,</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 especially for Wi-Fi 802.11ad/ay.</w:t>
      </w:r>
    </w:p>
    <w:p w:rsidR="00494751" w:rsidRDefault="004937C7">
      <w:pPr>
        <w:pStyle w:val="Heading2"/>
        <w:spacing w:after="240" w:line="260" w:lineRule="auto"/>
        <w:ind w:left="510" w:hanging="510"/>
        <w:jc w:val="both"/>
        <w:rPr>
          <w:rFonts w:ascii="Times New Roman" w:hAnsi="Times New Roman"/>
          <w:b/>
          <w:bCs w:val="0"/>
          <w:lang w:val="en-US" w:eastAsia="zh-CN"/>
        </w:rPr>
      </w:pPr>
      <w:bookmarkStart w:id="6" w:name="_Toc28873153"/>
      <w:r>
        <w:rPr>
          <w:rFonts w:ascii="Times New Roman" w:hAnsi="Times New Roman"/>
          <w:b/>
          <w:bCs w:val="0"/>
          <w:lang w:val="en-US" w:eastAsia="zh-CN"/>
        </w:rPr>
        <w:t xml:space="preserve"> Nominal Channel Bandwidth</w:t>
      </w:r>
      <w:r>
        <w:rPr>
          <w:rFonts w:ascii="Times New Roman" w:hAnsi="Times New Roman" w:hint="eastAsia"/>
          <w:b/>
          <w:bCs w:val="0"/>
          <w:lang w:val="en-US" w:eastAsia="zh-CN"/>
        </w:rPr>
        <w:t xml:space="preserve"> (NCB) and Bandwidth defined in NR</w:t>
      </w:r>
    </w:p>
    <w:p w:rsidR="00494751" w:rsidRDefault="004937C7">
      <w:pPr>
        <w:rPr>
          <w:lang w:val="en-US" w:eastAsia="zh-CN"/>
        </w:rPr>
      </w:pPr>
      <w:r>
        <w:rPr>
          <w:rFonts w:hint="eastAsia"/>
          <w:lang w:val="en-US" w:eastAsia="zh-CN"/>
        </w:rPr>
        <w:t>In RAN1 #102-e meeting, the following conclusion has been reached:</w:t>
      </w:r>
    </w:p>
    <w:tbl>
      <w:tblPr>
        <w:tblStyle w:val="TableGrid"/>
        <w:tblW w:w="0" w:type="auto"/>
        <w:tblLook w:val="04A0" w:firstRow="1" w:lastRow="0" w:firstColumn="1" w:lastColumn="0" w:noHBand="0" w:noVBand="1"/>
      </w:tblPr>
      <w:tblGrid>
        <w:gridCol w:w="9394"/>
      </w:tblGrid>
      <w:tr w:rsidR="00494751">
        <w:tc>
          <w:tcPr>
            <w:tcW w:w="9620" w:type="dxa"/>
          </w:tcPr>
          <w:p w:rsidR="00494751" w:rsidRDefault="004937C7">
            <w:pPr>
              <w:pStyle w:val="ListParagraph"/>
              <w:numPr>
                <w:ilvl w:val="255"/>
                <w:numId w:val="0"/>
              </w:numPr>
              <w:kinsoku w:val="0"/>
              <w:overflowPunct w:val="0"/>
              <w:adjustRightInd w:val="0"/>
              <w:spacing w:beforeLines="50" w:before="120" w:line="257" w:lineRule="auto"/>
              <w:textAlignment w:val="baseline"/>
              <w:rPr>
                <w:u w:val="single"/>
                <w:lang w:eastAsia="en-US"/>
              </w:rPr>
            </w:pPr>
            <w:r>
              <w:rPr>
                <w:u w:val="single"/>
              </w:rPr>
              <w:t>Conclusion:</w:t>
            </w:r>
          </w:p>
          <w:p w:rsidR="00494751" w:rsidRDefault="004937C7">
            <w:pPr>
              <w:pStyle w:val="ListParagraph"/>
              <w:numPr>
                <w:ilvl w:val="255"/>
                <w:numId w:val="0"/>
              </w:numPr>
              <w:kinsoku w:val="0"/>
              <w:overflowPunct w:val="0"/>
              <w:adjustRightInd w:val="0"/>
              <w:spacing w:line="257" w:lineRule="auto"/>
              <w:textAlignment w:val="baseline"/>
              <w:rPr>
                <w:bCs/>
                <w:i/>
                <w:iCs/>
                <w:lang w:eastAsia="en-US"/>
              </w:rPr>
            </w:pPr>
            <w:r>
              <w:rPr>
                <w:i/>
                <w:iCs/>
                <w:lang w:eastAsia="en-US"/>
              </w:rPr>
              <w:t xml:space="preserve">The OCB requirement of draft version v2.1.20 of EN 302 567 implies that </w:t>
            </w:r>
          </w:p>
          <w:p w:rsidR="00494751" w:rsidRDefault="004937C7">
            <w:pPr>
              <w:pStyle w:val="ListParagraph"/>
              <w:numPr>
                <w:ilvl w:val="0"/>
                <w:numId w:val="12"/>
              </w:numPr>
              <w:kinsoku w:val="0"/>
              <w:overflowPunct w:val="0"/>
              <w:adjustRightInd w:val="0"/>
              <w:spacing w:line="257" w:lineRule="auto"/>
              <w:ind w:leftChars="100" w:left="560"/>
              <w:textAlignment w:val="baseline"/>
              <w:rPr>
                <w:bCs/>
                <w:i/>
                <w:iCs/>
                <w:lang w:eastAsia="en-US"/>
              </w:rPr>
            </w:pPr>
            <w:r>
              <w:rPr>
                <w:bCs/>
                <w:i/>
                <w:iCs/>
                <w:lang w:eastAsia="en-US"/>
              </w:rPr>
              <w:t xml:space="preserve">Device supports one or multiple declared nominal channel bandwidths. </w:t>
            </w:r>
          </w:p>
          <w:p w:rsidR="00494751" w:rsidRDefault="004937C7">
            <w:pPr>
              <w:pStyle w:val="ListParagraph"/>
              <w:numPr>
                <w:ilvl w:val="0"/>
                <w:numId w:val="12"/>
              </w:numPr>
              <w:kinsoku w:val="0"/>
              <w:overflowPunct w:val="0"/>
              <w:adjustRightInd w:val="0"/>
              <w:spacing w:line="257" w:lineRule="auto"/>
              <w:ind w:leftChars="100" w:left="560"/>
              <w:textAlignment w:val="baseline"/>
              <w:rPr>
                <w:bCs/>
                <w:i/>
                <w:iCs/>
                <w:lang w:eastAsia="en-US"/>
              </w:rPr>
            </w:pPr>
            <w:r>
              <w:rPr>
                <w:bCs/>
                <w:i/>
                <w:iCs/>
                <w:lang w:eastAsia="en-US"/>
              </w:rPr>
              <w:t xml:space="preserve">For each declared nominal channel bandwidth, RAN1 design should support at least one physical layer signal/channel transmission that occupies at least 70% of the nominal channel bandwidth. </w:t>
            </w:r>
          </w:p>
          <w:p w:rsidR="00494751" w:rsidRDefault="004937C7">
            <w:pPr>
              <w:pStyle w:val="ListParagraph"/>
              <w:numPr>
                <w:ilvl w:val="0"/>
                <w:numId w:val="12"/>
              </w:numPr>
              <w:kinsoku w:val="0"/>
              <w:overflowPunct w:val="0"/>
              <w:adjustRightInd w:val="0"/>
              <w:spacing w:afterLines="50" w:after="120" w:line="257" w:lineRule="auto"/>
              <w:ind w:leftChars="100" w:left="563" w:hanging="363"/>
              <w:textAlignment w:val="baseline"/>
              <w:rPr>
                <w:u w:val="single"/>
              </w:rPr>
            </w:pPr>
            <w:r>
              <w:rPr>
                <w:bCs/>
                <w:i/>
                <w:iCs/>
                <w:lang w:eastAsia="en-US"/>
              </w:rPr>
              <w:t>FFS: Mapping of nominal channel bandwidth to bandwidth definitions in NR.</w:t>
            </w:r>
          </w:p>
        </w:tc>
      </w:tr>
    </w:tbl>
    <w:p w:rsidR="00494751" w:rsidRPr="00906FD4" w:rsidRDefault="004937C7">
      <w:pPr>
        <w:spacing w:before="180" w:after="60" w:line="260" w:lineRule="auto"/>
        <w:jc w:val="both"/>
        <w:rPr>
          <w:rFonts w:eastAsia="宋体"/>
          <w:lang w:val="en-US" w:eastAsia="zh-CN"/>
        </w:rPr>
      </w:pPr>
      <w:r w:rsidRPr="00906FD4">
        <w:rPr>
          <w:rFonts w:eastAsia="宋体" w:hint="eastAsia"/>
          <w:lang w:val="en-US" w:eastAsia="zh-CN"/>
        </w:rPr>
        <w:t>For this FFS mentioned in the above conclusion, the first thing to be clarified is what the nominal channel bandwidth is or how to understand nominal channel bandwidth mentioned in high frequency band. In low frequency band, we can see that the nominal channel bandwidth consists of one or multiple of 20MHz. However, unlike the low frequency band, high frequency such as 60GHz does not provide any schemes on basic channelization band similar to 20MHz specified in low frequency band and then it is difficult to determine the nominal channel bandwidth based on the determination principle of low frequency. Further, we can see from the agreement reached in A.I. 8.2.1 of the RAN1 #102-e meeting that NR has supported some candidate maximum carrier bandwidths for a cell, such as 400/800/1600/2000/2160MHz, while specific channel bandwidth has not been determined yet. Under this situation, it is necessary to first determine the channel bandwidth supported for NR, e.g., without considering channelization and supported channel bandwidth supported by Wi-Fi 802.11 ad/ay, the channel bandwidth defined in NR can be 400/800/1600MHz. Otherwise, 2000/2160MHz channel bandwidth also needs to be considered in NR except 400/800/1600MHz . More details can be found in our companion contribution [4].</w:t>
      </w:r>
    </w:p>
    <w:p w:rsidR="00494751" w:rsidRPr="00906FD4" w:rsidRDefault="004937C7">
      <w:pPr>
        <w:spacing w:before="180" w:after="60" w:line="260" w:lineRule="auto"/>
        <w:jc w:val="both"/>
        <w:rPr>
          <w:rFonts w:eastAsia="宋体"/>
          <w:lang w:val="en-US" w:eastAsia="zh-CN"/>
        </w:rPr>
      </w:pPr>
      <w:r w:rsidRPr="00906FD4">
        <w:rPr>
          <w:rFonts w:eastAsia="宋体" w:hint="eastAsia"/>
          <w:lang w:val="en-US" w:eastAsia="zh-CN"/>
        </w:rPr>
        <w:lastRenderedPageBreak/>
        <w:t>Based on the above understanding and current situation, we will further discuss the relationship between nominal channel bandwidth and bandwidth definitions in NR. From the point of view of minimizing the impact of the current spec, our understanding is that the bandwidth defined in NR can be regarded as nominal channel bandwidth while specific which bandwidth defined in NR to be seen as nominal channel bandwidth depends on the ability of UE to support certain channel bandwidth. E.g., UE supports the channel bandwidths among [400MHz, 800MHz, 1600MHz], NR configures channel bandwidth as 400MHz, then the configured 400MHz channel bandwidth is nominal bandwidth.</w:t>
      </w:r>
    </w:p>
    <w:p w:rsidR="00494751" w:rsidRPr="00906FD4" w:rsidRDefault="004937C7">
      <w:pPr>
        <w:spacing w:before="180" w:after="60" w:line="260" w:lineRule="auto"/>
        <w:jc w:val="both"/>
        <w:rPr>
          <w:rFonts w:eastAsia="宋体"/>
          <w:lang w:val="en-US" w:eastAsia="zh-CN"/>
        </w:rPr>
      </w:pPr>
      <w:r w:rsidRPr="00906FD4">
        <w:rPr>
          <w:rFonts w:eastAsia="宋体" w:hint="eastAsia"/>
          <w:lang w:val="en-US" w:eastAsia="zh-CN"/>
        </w:rPr>
        <w:t>However, if coexistence with Wi-Fi is considered, or the absence of Wi-Fi node cannot be guaranteed, and the NR configured channel bandwidth is different with that of defined in Wi-Fi, then the following aspects may need to be considered:</w:t>
      </w:r>
    </w:p>
    <w:p w:rsidR="00494751" w:rsidRPr="00906FD4" w:rsidRDefault="004937C7">
      <w:pPr>
        <w:numPr>
          <w:ilvl w:val="0"/>
          <w:numId w:val="14"/>
        </w:numPr>
        <w:spacing w:before="180" w:after="60" w:line="260" w:lineRule="auto"/>
        <w:jc w:val="both"/>
        <w:rPr>
          <w:rFonts w:eastAsia="宋体"/>
          <w:lang w:val="en-US" w:eastAsia="zh-CN"/>
        </w:rPr>
      </w:pPr>
      <w:r w:rsidRPr="00906FD4">
        <w:rPr>
          <w:rFonts w:eastAsia="宋体" w:hint="eastAsia"/>
          <w:lang w:val="en-US" w:eastAsia="zh-CN"/>
        </w:rPr>
        <w:t>Study and evaluate the coexistence of NR-U and Wi-Fi under different channel bandwidth. Wherein, the least supported channel bandwidth by Wi-Fi is 2.16GHz.</w:t>
      </w:r>
    </w:p>
    <w:p w:rsidR="00494751" w:rsidRPr="00906FD4" w:rsidRDefault="004937C7">
      <w:pPr>
        <w:numPr>
          <w:ilvl w:val="0"/>
          <w:numId w:val="14"/>
        </w:numPr>
        <w:spacing w:before="180" w:after="60" w:line="260" w:lineRule="auto"/>
        <w:jc w:val="both"/>
        <w:rPr>
          <w:rFonts w:eastAsia="宋体"/>
          <w:lang w:val="en-US" w:eastAsia="zh-CN"/>
        </w:rPr>
      </w:pPr>
      <w:r w:rsidRPr="00906FD4">
        <w:rPr>
          <w:rFonts w:eastAsia="宋体" w:hint="eastAsia"/>
          <w:lang w:val="en-US" w:eastAsia="zh-CN"/>
        </w:rPr>
        <w:t>Consider whether to allow multiple NR channel bandwidth aggregation method to achieve the alignment with Wi-Fi supported channel bandwidth.</w:t>
      </w:r>
    </w:p>
    <w:p w:rsidR="00494751" w:rsidRDefault="004937C7">
      <w:pPr>
        <w:spacing w:before="180" w:after="60" w:line="260" w:lineRule="auto"/>
        <w:jc w:val="both"/>
        <w:rPr>
          <w:rFonts w:eastAsia="宋体"/>
          <w:b/>
          <w:bCs/>
          <w:lang w:val="en-US" w:eastAsia="zh-CN"/>
        </w:rPr>
      </w:pPr>
      <w:r>
        <w:rPr>
          <w:rFonts w:eastAsia="宋体" w:hint="eastAsia"/>
          <w:b/>
          <w:bCs/>
          <w:lang w:val="en-US" w:eastAsia="zh-CN"/>
        </w:rPr>
        <w:t xml:space="preserve">Proposal 2: The channel bandwidth supported by UE and defined in NR can be regarded as the nominal channel bandwidth. </w:t>
      </w:r>
    </w:p>
    <w:p w:rsidR="00494751" w:rsidRDefault="004937C7">
      <w:pPr>
        <w:spacing w:before="180" w:after="60" w:line="260" w:lineRule="auto"/>
        <w:jc w:val="both"/>
        <w:rPr>
          <w:rFonts w:eastAsia="宋体"/>
          <w:u w:val="single"/>
          <w:lang w:val="en-US" w:eastAsia="zh-CN"/>
        </w:rPr>
      </w:pPr>
      <w:r>
        <w:rPr>
          <w:rFonts w:eastAsia="宋体" w:hint="eastAsia"/>
          <w:b/>
          <w:bCs/>
          <w:lang w:val="en-US" w:eastAsia="zh-CN"/>
        </w:rPr>
        <w:t xml:space="preserve">Proposal 3: If coexistence with Wi-Fi is considered, or the absence of Wi-Fi node cannot be guaranteed, </w:t>
      </w:r>
      <w:r w:rsidR="00691869">
        <w:rPr>
          <w:rFonts w:eastAsia="宋体"/>
          <w:b/>
          <w:bCs/>
          <w:lang w:val="en-US" w:eastAsia="zh-CN"/>
        </w:rPr>
        <w:t>the following options can be further studied</w:t>
      </w:r>
      <w:r>
        <w:rPr>
          <w:rFonts w:eastAsia="宋体" w:hint="eastAsia"/>
          <w:b/>
          <w:bCs/>
          <w:lang w:val="en-US" w:eastAsia="zh-CN"/>
        </w:rPr>
        <w:t>:</w:t>
      </w:r>
    </w:p>
    <w:p w:rsidR="00691869" w:rsidRDefault="00691869" w:rsidP="00691869">
      <w:pPr>
        <w:numPr>
          <w:ilvl w:val="0"/>
          <w:numId w:val="20"/>
        </w:numPr>
        <w:spacing w:before="180" w:after="60" w:line="260" w:lineRule="auto"/>
        <w:jc w:val="both"/>
        <w:rPr>
          <w:rFonts w:eastAsia="宋体"/>
          <w:b/>
          <w:bCs/>
          <w:lang w:val="en-US" w:eastAsia="zh-CN"/>
        </w:rPr>
      </w:pPr>
      <w:r>
        <w:rPr>
          <w:rFonts w:eastAsia="宋体" w:hint="eastAsia"/>
          <w:b/>
          <w:bCs/>
          <w:lang w:val="en-US" w:eastAsia="zh-CN"/>
        </w:rPr>
        <w:t>Option 1: Align the channelization of Rel-17 NR with Wi-Fi design at least in unlicensed band (e.g. 57 GHz - 71 GHz) and support 2.16 GHz channel bandwidth</w:t>
      </w:r>
    </w:p>
    <w:p w:rsidR="00494751" w:rsidRPr="00906FD4" w:rsidRDefault="00691869" w:rsidP="00691869">
      <w:pPr>
        <w:numPr>
          <w:ilvl w:val="0"/>
          <w:numId w:val="20"/>
        </w:numPr>
        <w:spacing w:before="180" w:after="60" w:line="260" w:lineRule="auto"/>
        <w:jc w:val="both"/>
        <w:rPr>
          <w:rFonts w:eastAsia="宋体"/>
          <w:b/>
          <w:bCs/>
          <w:lang w:val="en-US" w:eastAsia="zh-CN"/>
        </w:rPr>
      </w:pPr>
      <w:r w:rsidRPr="00691869">
        <w:rPr>
          <w:rFonts w:eastAsia="宋体" w:hint="eastAsia"/>
          <w:b/>
          <w:bCs/>
          <w:lang w:val="en-US" w:eastAsia="zh-CN"/>
        </w:rPr>
        <w:t>Option 2: No need to align the channelization of Rel-17 NR with Wi-Fi design.</w:t>
      </w:r>
      <w:r w:rsidRPr="00691869">
        <w:rPr>
          <w:rFonts w:eastAsia="宋体"/>
          <w:b/>
          <w:bCs/>
          <w:lang w:val="en-US" w:eastAsia="zh-CN"/>
        </w:rPr>
        <w:t xml:space="preserve"> </w:t>
      </w:r>
      <w:r w:rsidR="00906FD4" w:rsidRPr="00691869">
        <w:rPr>
          <w:rFonts w:eastAsia="宋体"/>
          <w:b/>
          <w:bCs/>
          <w:lang w:val="en-US" w:eastAsia="zh-CN"/>
        </w:rPr>
        <w:t>Study</w:t>
      </w:r>
      <w:r w:rsidR="004937C7" w:rsidRPr="00691869">
        <w:rPr>
          <w:rFonts w:eastAsia="宋体" w:hint="eastAsia"/>
          <w:b/>
          <w:bCs/>
          <w:lang w:val="en-US" w:eastAsia="zh-CN"/>
        </w:rPr>
        <w:t xml:space="preserve"> and evaluate </w:t>
      </w:r>
      <w:r>
        <w:rPr>
          <w:rFonts w:eastAsia="宋体"/>
          <w:b/>
          <w:bCs/>
          <w:lang w:val="en-US" w:eastAsia="zh-CN"/>
        </w:rPr>
        <w:t xml:space="preserve">how </w:t>
      </w:r>
      <w:r w:rsidR="004937C7" w:rsidRPr="00691869">
        <w:rPr>
          <w:rFonts w:eastAsia="宋体" w:hint="eastAsia"/>
          <w:b/>
          <w:bCs/>
          <w:lang w:val="en-US" w:eastAsia="zh-CN"/>
        </w:rPr>
        <w:t xml:space="preserve">the coexistence </w:t>
      </w:r>
      <w:r>
        <w:rPr>
          <w:rFonts w:eastAsia="宋体"/>
          <w:b/>
          <w:bCs/>
          <w:lang w:val="en-US" w:eastAsia="zh-CN"/>
        </w:rPr>
        <w:t>is achieved between</w:t>
      </w:r>
      <w:r w:rsidR="004937C7" w:rsidRPr="00691869">
        <w:rPr>
          <w:rFonts w:eastAsia="宋体" w:hint="eastAsia"/>
          <w:b/>
          <w:bCs/>
          <w:lang w:val="en-US" w:eastAsia="zh-CN"/>
        </w:rPr>
        <w:t xml:space="preserve"> NR-U and Wi-Fi under different channel bandwidth. </w:t>
      </w:r>
    </w:p>
    <w:p w:rsidR="00494751" w:rsidRDefault="004937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Channel access mechanism for above 52.6 GHz</w:t>
      </w:r>
    </w:p>
    <w:p w:rsidR="00494751" w:rsidRDefault="004937C7">
      <w:pPr>
        <w:pStyle w:val="Heading3"/>
        <w:rPr>
          <w:rFonts w:ascii="Times New Roman" w:hAnsi="Times New Roman" w:cs="Times New Roman"/>
          <w:b/>
          <w:bCs w:val="0"/>
          <w:lang w:val="en-US" w:eastAsia="zh-CN"/>
        </w:rPr>
      </w:pPr>
      <w:r>
        <w:rPr>
          <w:rFonts w:ascii="Times New Roman" w:hAnsi="Times New Roman" w:cs="Times New Roman" w:hint="eastAsia"/>
          <w:b/>
          <w:bCs w:val="0"/>
          <w:lang w:val="en-US" w:eastAsia="zh-CN"/>
        </w:rPr>
        <w:t xml:space="preserve"> Omni-directional LBT</w:t>
      </w:r>
    </w:p>
    <w:p w:rsidR="00494751" w:rsidRDefault="004937C7">
      <w:pPr>
        <w:tabs>
          <w:tab w:val="left" w:pos="450"/>
          <w:tab w:val="left" w:pos="720"/>
        </w:tabs>
        <w:jc w:val="both"/>
        <w:rPr>
          <w:lang w:val="en-US" w:eastAsia="zh-CN"/>
        </w:rPr>
      </w:pPr>
      <w:r>
        <w:rPr>
          <w:rFonts w:hint="eastAsia"/>
          <w:lang w:val="en-US" w:eastAsia="zh-CN"/>
        </w:rPr>
        <w:t>In low frequency (e.g., below 7 GHz), in order to guarantee fair coexistence with the incumbe</w:t>
      </w:r>
      <w:r>
        <w:rPr>
          <w:rFonts w:eastAsia="宋体" w:hint="eastAsia"/>
          <w:lang w:val="en-US" w:eastAsia="zh-CN"/>
        </w:rPr>
        <w:t>nt</w:t>
      </w:r>
      <w:r>
        <w:rPr>
          <w:rFonts w:hint="eastAsia"/>
          <w:lang w:val="en-US" w:eastAsia="zh-CN"/>
        </w:rPr>
        <w:t xml:space="preserve"> Wi-Fi system such as 802.11 ac/ax in the unlicensed carrier, omni-directional LBT with energy detection considering no array gain was introduced in LTE-LAA/eLAA/FeLAA/NR-U. </w:t>
      </w:r>
    </w:p>
    <w:p w:rsidR="00494751" w:rsidRDefault="004937C7" w:rsidP="00D77BF6">
      <w:pPr>
        <w:tabs>
          <w:tab w:val="left" w:pos="450"/>
          <w:tab w:val="left" w:pos="720"/>
        </w:tabs>
        <w:spacing w:line="240" w:lineRule="auto"/>
        <w:jc w:val="both"/>
        <w:rPr>
          <w:lang w:val="en-US" w:eastAsia="zh-CN"/>
        </w:rPr>
      </w:pPr>
      <w:r>
        <w:rPr>
          <w:rFonts w:hint="eastAsia"/>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w:t>
      </w:r>
      <w:r>
        <w:rPr>
          <w:lang w:val="en-US" w:eastAsia="zh-CN"/>
        </w:rPr>
        <w:t>“</w:t>
      </w:r>
      <w:r>
        <w:rPr>
          <w:rFonts w:hint="eastAsia"/>
          <w:lang w:val="en-US" w:eastAsia="zh-CN"/>
        </w:rPr>
        <w:t>over protection</w:t>
      </w:r>
      <w:r>
        <w:rPr>
          <w:lang w:val="en-US" w:eastAsia="zh-CN"/>
        </w:rPr>
        <w:t>”</w:t>
      </w:r>
      <w:r>
        <w:rPr>
          <w:rFonts w:hint="eastAsia"/>
          <w:lang w:val="en-US" w:eastAsia="zh-CN"/>
        </w:rPr>
        <w:t xml:space="preserve"> issue. For example, high interference detected on the omni-directional beam range could block the transmission on narrow directional beam range even if the transmission does not interfere with the transmission of the other nodes in the other beam directions. </w:t>
      </w:r>
    </w:p>
    <w:p w:rsidR="00494751" w:rsidRDefault="004937C7">
      <w:pPr>
        <w:tabs>
          <w:tab w:val="left" w:pos="450"/>
          <w:tab w:val="left" w:pos="720"/>
        </w:tabs>
        <w:spacing w:line="260" w:lineRule="auto"/>
        <w:jc w:val="both"/>
        <w:rPr>
          <w:lang w:val="en-US" w:eastAsia="zh-CN"/>
        </w:rPr>
      </w:pPr>
      <w:r>
        <w:rPr>
          <w:rFonts w:hint="eastAsia"/>
          <w:lang w:val="en-US" w:eastAsia="zh-CN"/>
        </w:rPr>
        <w:t xml:space="preserve">Based on the above analysis, it is necessary to study directional LBT mechanism for directional transmission and reception mode in order to improve the probability of channel access and spatial reuse </w:t>
      </w:r>
    </w:p>
    <w:p w:rsidR="00494751" w:rsidRDefault="004937C7">
      <w:pPr>
        <w:pStyle w:val="Heading3"/>
        <w:rPr>
          <w:rFonts w:ascii="Times New Roman" w:hAnsi="Times New Roman" w:cs="Times New Roman"/>
          <w:b/>
          <w:bCs w:val="0"/>
          <w:lang w:val="en-US" w:eastAsia="zh-CN"/>
        </w:rPr>
      </w:pPr>
      <w:r>
        <w:rPr>
          <w:rFonts w:ascii="Times New Roman" w:hAnsi="Times New Roman" w:cs="Times New Roman" w:hint="eastAsia"/>
          <w:b/>
          <w:bCs w:val="0"/>
          <w:lang w:val="en-US" w:eastAsia="zh-CN"/>
        </w:rPr>
        <w:t xml:space="preserve"> </w:t>
      </w:r>
      <w:r>
        <w:rPr>
          <w:rFonts w:ascii="Times New Roman" w:hAnsi="Times New Roman" w:cs="Times New Roman"/>
          <w:b/>
          <w:bCs w:val="0"/>
          <w:lang w:val="en-US" w:eastAsia="zh-CN"/>
        </w:rPr>
        <w:t>Directional LBT</w:t>
      </w:r>
    </w:p>
    <w:p w:rsidR="00494751" w:rsidRDefault="004937C7">
      <w:pPr>
        <w:tabs>
          <w:tab w:val="left" w:pos="450"/>
          <w:tab w:val="left" w:pos="720"/>
        </w:tabs>
        <w:jc w:val="both"/>
        <w:rPr>
          <w:lang w:val="en-US" w:eastAsia="zh-CN"/>
        </w:rPr>
      </w:pPr>
      <w:r>
        <w:rPr>
          <w:rFonts w:hint="eastAsia"/>
          <w:lang w:val="en-US" w:eastAsia="zh-CN"/>
        </w:rPr>
        <w:t xml:space="preserve">Based on the analysis of Section 2.3.1, we can know that directional LBT may be a good choice to increase the opportunities of channel access and achieve better spatial reuse compared to omni-directional LBT, wherein, for directional LBT, the transmitting node performs energy detection with directional beam instead of omni beam. Furthermore, directional LBT may accentuate the hidden/exposed node problem compared to onmi-directional LBT and the reason is that it can make the difference between the observed interference at transmitter side and actual interference at the receiver side much larger compared to onmi-directional LBT. In order to alleviate the impact of </w:t>
      </w:r>
      <w:r>
        <w:rPr>
          <w:lang w:val="en-US" w:eastAsia="zh-CN"/>
        </w:rPr>
        <w:t xml:space="preserve">the </w:t>
      </w:r>
      <w:r>
        <w:rPr>
          <w:lang w:val="en-US" w:eastAsia="zh-CN"/>
        </w:rPr>
        <w:lastRenderedPageBreak/>
        <w:t>hidden</w:t>
      </w:r>
      <w:r>
        <w:rPr>
          <w:rFonts w:hint="eastAsia"/>
          <w:lang w:val="en-US" w:eastAsia="zh-CN"/>
        </w:rPr>
        <w:t>/exposed</w:t>
      </w:r>
      <w:r>
        <w:rPr>
          <w:lang w:val="en-US" w:eastAsia="zh-CN"/>
        </w:rPr>
        <w:t xml:space="preserve"> nodes</w:t>
      </w:r>
      <w:r>
        <w:rPr>
          <w:rFonts w:hint="eastAsia"/>
          <w:lang w:val="en-US" w:eastAsia="zh-CN"/>
        </w:rPr>
        <w:t xml:space="preserve"> problem, some methods may </w:t>
      </w:r>
      <w:r>
        <w:rPr>
          <w:lang w:val="en-US" w:eastAsia="zh-CN"/>
        </w:rPr>
        <w:t xml:space="preserve">be </w:t>
      </w:r>
      <w:r>
        <w:rPr>
          <w:rFonts w:hint="eastAsia"/>
          <w:lang w:val="en-US" w:eastAsia="zh-CN"/>
        </w:rPr>
        <w:t xml:space="preserve">considered and studied, e.g., </w:t>
      </w:r>
      <w:r>
        <w:rPr>
          <w:lang w:eastAsia="zh-CN"/>
        </w:rPr>
        <w:t xml:space="preserve">the receiving </w:t>
      </w:r>
      <w:r>
        <w:rPr>
          <w:rFonts w:hint="eastAsia"/>
          <w:lang w:val="en-US" w:eastAsia="zh-CN"/>
        </w:rPr>
        <w:t>node</w:t>
      </w:r>
      <w:r>
        <w:rPr>
          <w:lang w:eastAsia="zh-CN"/>
        </w:rPr>
        <w:t xml:space="preserve"> performs a LBT</w:t>
      </w:r>
      <w:r>
        <w:rPr>
          <w:rFonts w:hint="eastAsia"/>
          <w:lang w:val="en-US" w:eastAsia="zh-CN"/>
        </w:rPr>
        <w:t xml:space="preserve"> mechanism and</w:t>
      </w:r>
      <w:r>
        <w:rPr>
          <w:rFonts w:hint="eastAsia"/>
          <w:lang w:eastAsia="zh-CN"/>
        </w:rPr>
        <w:t xml:space="preserve"> send</w:t>
      </w:r>
      <w:r>
        <w:rPr>
          <w:rFonts w:eastAsia="宋体" w:hint="eastAsia"/>
          <w:lang w:eastAsia="zh-CN"/>
        </w:rPr>
        <w:t>s</w:t>
      </w:r>
      <w:r>
        <w:rPr>
          <w:rFonts w:hint="eastAsia"/>
          <w:lang w:eastAsia="zh-CN"/>
        </w:rPr>
        <w:t xml:space="preserve"> </w:t>
      </w:r>
      <w:r>
        <w:rPr>
          <w:rFonts w:hint="eastAsia"/>
          <w:lang w:val="en-US" w:eastAsia="zh-CN"/>
        </w:rPr>
        <w:t>an</w:t>
      </w:r>
      <w:r>
        <w:rPr>
          <w:rFonts w:hint="eastAsia"/>
          <w:lang w:eastAsia="zh-CN"/>
        </w:rPr>
        <w:t xml:space="preserve"> indication signal</w:t>
      </w:r>
      <w:r>
        <w:rPr>
          <w:rFonts w:hint="eastAsia"/>
          <w:lang w:val="en-US" w:eastAsia="zh-CN"/>
        </w:rPr>
        <w:t xml:space="preserve"> to alleviate hidden node problem</w:t>
      </w:r>
      <w:r>
        <w:rPr>
          <w:rFonts w:hint="eastAsia"/>
          <w:lang w:eastAsia="zh-CN"/>
        </w:rPr>
        <w:t xml:space="preserve">. </w:t>
      </w:r>
      <w:r>
        <w:rPr>
          <w:rFonts w:hint="eastAsia"/>
          <w:lang w:val="en-US" w:eastAsia="zh-CN"/>
        </w:rPr>
        <w:t>Beside</w:t>
      </w:r>
      <w:r>
        <w:rPr>
          <w:lang w:val="en-US" w:eastAsia="zh-CN"/>
        </w:rPr>
        <w:t>s</w:t>
      </w:r>
      <w:r>
        <w:rPr>
          <w:rFonts w:hint="eastAsia"/>
          <w:lang w:val="en-US" w:eastAsia="zh-CN"/>
        </w:rPr>
        <w:t>, the transmitter performs sensing operation on the transmission beam range to reduce exposed node problem or mismatch sensing beam and transmission beam.</w:t>
      </w:r>
    </w:p>
    <w:p w:rsidR="00494751" w:rsidRDefault="004937C7">
      <w:pPr>
        <w:tabs>
          <w:tab w:val="left" w:pos="450"/>
          <w:tab w:val="left" w:pos="720"/>
        </w:tabs>
        <w:jc w:val="both"/>
        <w:rPr>
          <w:lang w:val="en-US" w:eastAsia="zh-CN"/>
        </w:rPr>
      </w:pPr>
      <w:r>
        <w:rPr>
          <w:rFonts w:hint="eastAsia"/>
          <w:lang w:val="en-US" w:eastAsia="zh-CN"/>
        </w:rPr>
        <w:t>We can see from the analysis of section 2.3.1 and 2.3.2 that channel access scheme should be studied taking into account the characteristic of beam-based transmission and reception mode for above 52.6 GHz, especially for directional LBT to improve the probability of channel access and spatial reuse.</w:t>
      </w:r>
    </w:p>
    <w:p w:rsidR="00494751" w:rsidRDefault="004937C7">
      <w:pPr>
        <w:tabs>
          <w:tab w:val="left" w:pos="450"/>
          <w:tab w:val="left" w:pos="720"/>
        </w:tabs>
        <w:jc w:val="both"/>
        <w:rPr>
          <w:lang w:val="en-US" w:eastAsia="zh-CN"/>
        </w:rPr>
      </w:pPr>
      <w:r>
        <w:rPr>
          <w:rFonts w:hint="eastAsia"/>
          <w:lang w:val="en-US" w:eastAsia="zh-CN"/>
        </w:rPr>
        <w:t>In this part, we provide system-level simulation</w:t>
      </w:r>
      <w:r>
        <w:rPr>
          <w:lang w:val="en-US" w:eastAsia="zh-CN"/>
        </w:rPr>
        <w:t>s</w:t>
      </w:r>
      <w:r>
        <w:rPr>
          <w:rFonts w:hint="eastAsia"/>
          <w:lang w:val="en-US" w:eastAsia="zh-CN"/>
        </w:rPr>
        <w:t xml:space="preserve"> </w:t>
      </w:r>
      <w:r>
        <w:rPr>
          <w:lang w:val="en-US" w:eastAsia="zh-CN"/>
        </w:rPr>
        <w:t>to evaluate the impact of LBT schemes on the coexistence between</w:t>
      </w:r>
      <w:r>
        <w:rPr>
          <w:rFonts w:hint="eastAsia"/>
          <w:lang w:val="en-US" w:eastAsia="zh-CN"/>
        </w:rPr>
        <w:t xml:space="preserve"> NR-U and Wi-Fi </w:t>
      </w:r>
      <w:r>
        <w:rPr>
          <w:lang w:val="en-US" w:eastAsia="zh-CN"/>
        </w:rPr>
        <w:t>systems, where one operator using</w:t>
      </w:r>
      <w:r>
        <w:rPr>
          <w:rFonts w:hint="eastAsia"/>
          <w:lang w:val="en-US" w:eastAsia="zh-CN"/>
        </w:rPr>
        <w:t xml:space="preserve"> </w:t>
      </w:r>
      <w:r>
        <w:rPr>
          <w:lang w:val="en-US" w:eastAsia="zh-CN"/>
        </w:rPr>
        <w:t>omni-directional LBT mimics the behavior of</w:t>
      </w:r>
      <w:r>
        <w:rPr>
          <w:rFonts w:hint="eastAsia"/>
          <w:lang w:val="en-US" w:eastAsia="zh-CN"/>
        </w:rPr>
        <w:t xml:space="preserve"> Wi-Fi system </w:t>
      </w:r>
      <w:r>
        <w:rPr>
          <w:lang w:val="en-US" w:eastAsia="zh-CN"/>
        </w:rPr>
        <w:t>and the other operator is assumed as NR-U can choose between</w:t>
      </w:r>
      <w:r>
        <w:rPr>
          <w:rFonts w:hint="eastAsia"/>
          <w:lang w:val="en-US" w:eastAsia="zh-CN"/>
        </w:rPr>
        <w:t xml:space="preserve"> omni-directional LBT </w:t>
      </w:r>
      <w:r>
        <w:rPr>
          <w:lang w:val="en-US" w:eastAsia="zh-CN"/>
        </w:rPr>
        <w:t>and</w:t>
      </w:r>
      <w:r>
        <w:rPr>
          <w:rFonts w:hint="eastAsia"/>
          <w:lang w:val="en-US" w:eastAsia="zh-CN"/>
        </w:rPr>
        <w:t xml:space="preserve"> directional LBT. </w:t>
      </w:r>
      <w:r>
        <w:rPr>
          <w:lang w:val="en-US" w:eastAsia="zh-CN"/>
        </w:rPr>
        <w:t>The</w:t>
      </w:r>
      <w:r>
        <w:rPr>
          <w:rFonts w:hint="eastAsia"/>
          <w:lang w:val="en-US" w:eastAsia="zh-CN"/>
        </w:rPr>
        <w:t xml:space="preserve"> detailed simulation assumptions are listed in Appendix. Besides, more SLS results for above 52.6 GHz NR-U can be found in our companion contribution [5].</w:t>
      </w:r>
    </w:p>
    <w:p w:rsidR="00494751" w:rsidRDefault="004937C7">
      <w:pPr>
        <w:tabs>
          <w:tab w:val="left" w:pos="450"/>
          <w:tab w:val="left" w:pos="720"/>
        </w:tabs>
        <w:jc w:val="both"/>
        <w:rPr>
          <w:lang w:val="en-US" w:eastAsia="zh-CN"/>
        </w:rPr>
      </w:pPr>
      <w:r>
        <w:rPr>
          <w:rFonts w:hint="eastAsia"/>
          <w:lang w:val="en-US" w:eastAsia="zh-CN"/>
        </w:rPr>
        <w:t xml:space="preserve">Figure 1 plots mean, 5%, 50% and 95% user-perceived throughput performance for Case 1 and Case 2, herein, </w:t>
      </w:r>
    </w:p>
    <w:p w:rsidR="00494751" w:rsidRDefault="004937C7">
      <w:pPr>
        <w:pStyle w:val="ListParagraph"/>
        <w:numPr>
          <w:ilvl w:val="0"/>
          <w:numId w:val="16"/>
        </w:numPr>
        <w:tabs>
          <w:tab w:val="left" w:pos="450"/>
          <w:tab w:val="left" w:pos="720"/>
        </w:tabs>
        <w:jc w:val="both"/>
        <w:rPr>
          <w:lang w:val="en-US" w:eastAsia="zh-CN"/>
        </w:rPr>
      </w:pPr>
      <w:r>
        <w:rPr>
          <w:rFonts w:hint="eastAsia"/>
          <w:lang w:val="en-US" w:eastAsia="zh-CN"/>
        </w:rPr>
        <w:t>Case 1 corresponds to omni-directional LBT for Operator 1</w:t>
      </w:r>
      <w:r>
        <w:rPr>
          <w:lang w:val="en-US" w:eastAsia="zh-CN"/>
        </w:rPr>
        <w:t xml:space="preserve"> (mimic an existed Wi-Fi operator</w:t>
      </w:r>
      <w:r>
        <w:rPr>
          <w:rFonts w:hint="eastAsia"/>
          <w:lang w:val="en-US" w:eastAsia="zh-CN"/>
        </w:rPr>
        <w:t>) vs omni-directional LBT for Operator 2</w:t>
      </w:r>
      <w:r>
        <w:rPr>
          <w:lang w:val="en-US" w:eastAsia="zh-CN"/>
        </w:rPr>
        <w:t xml:space="preserve"> (mimic a new NR-U operator</w:t>
      </w:r>
      <w:r>
        <w:rPr>
          <w:rFonts w:hint="eastAsia"/>
          <w:lang w:val="en-US" w:eastAsia="zh-CN"/>
        </w:rPr>
        <w:t xml:space="preserve">) </w:t>
      </w:r>
      <w:r>
        <w:rPr>
          <w:lang w:val="en-US" w:eastAsia="zh-CN"/>
        </w:rPr>
        <w:t>;</w:t>
      </w:r>
    </w:p>
    <w:p w:rsidR="00494751" w:rsidRDefault="004937C7">
      <w:pPr>
        <w:pStyle w:val="ListParagraph"/>
        <w:numPr>
          <w:ilvl w:val="0"/>
          <w:numId w:val="16"/>
        </w:numPr>
        <w:tabs>
          <w:tab w:val="left" w:pos="450"/>
          <w:tab w:val="left" w:pos="720"/>
        </w:tabs>
        <w:jc w:val="both"/>
        <w:rPr>
          <w:lang w:val="en-US" w:eastAsia="zh-CN"/>
        </w:rPr>
      </w:pPr>
      <w:r>
        <w:rPr>
          <w:rFonts w:hint="eastAsia"/>
          <w:lang w:val="en-US" w:eastAsia="zh-CN"/>
        </w:rPr>
        <w:t>Case 2 corresponds to omni-directional LBT for Operator 1</w:t>
      </w:r>
      <w:r>
        <w:rPr>
          <w:lang w:val="en-US" w:eastAsia="zh-CN"/>
        </w:rPr>
        <w:t>(mimic an existed Wi-Fi operator</w:t>
      </w:r>
      <w:r>
        <w:rPr>
          <w:rFonts w:hint="eastAsia"/>
          <w:lang w:val="en-US" w:eastAsia="zh-CN"/>
        </w:rPr>
        <w:t>) vs directional LBT for Operator 2</w:t>
      </w:r>
      <w:r>
        <w:rPr>
          <w:lang w:val="en-US" w:eastAsia="zh-CN"/>
        </w:rPr>
        <w:t xml:space="preserve"> (mimic a new NR-U operator</w:t>
      </w:r>
      <w:r>
        <w:rPr>
          <w:rFonts w:hint="eastAsia"/>
          <w:lang w:val="en-US" w:eastAsia="zh-CN"/>
        </w:rPr>
        <w:t xml:space="preserve">). </w:t>
      </w:r>
    </w:p>
    <w:p w:rsidR="00494751" w:rsidRDefault="004937C7" w:rsidP="00D77BF6">
      <w:pPr>
        <w:tabs>
          <w:tab w:val="left" w:pos="450"/>
          <w:tab w:val="left" w:pos="720"/>
        </w:tabs>
        <w:spacing w:before="180" w:line="260" w:lineRule="auto"/>
        <w:jc w:val="both"/>
        <w:rPr>
          <w:lang w:val="en-US" w:eastAsia="zh-CN"/>
        </w:rPr>
      </w:pPr>
      <w:r>
        <w:rPr>
          <w:rFonts w:hint="eastAsia"/>
          <w:lang w:val="en-US" w:eastAsia="zh-CN"/>
        </w:rPr>
        <w:t>We can observe the following phenomenon from Figure 1:</w:t>
      </w:r>
    </w:p>
    <w:p w:rsidR="00494751" w:rsidRDefault="004937C7" w:rsidP="00D77BF6">
      <w:pPr>
        <w:numPr>
          <w:ilvl w:val="0"/>
          <w:numId w:val="17"/>
        </w:numPr>
        <w:tabs>
          <w:tab w:val="left" w:pos="450"/>
          <w:tab w:val="left" w:pos="720"/>
        </w:tabs>
        <w:ind w:left="0" w:firstLine="0"/>
        <w:jc w:val="both"/>
        <w:rPr>
          <w:lang w:val="en-US" w:eastAsia="zh-CN"/>
        </w:rPr>
      </w:pPr>
      <w:r>
        <w:rPr>
          <w:rFonts w:hint="eastAsia"/>
          <w:lang w:val="en-US" w:eastAsia="zh-CN"/>
        </w:rPr>
        <w:t xml:space="preserve">In mean, 5% and 50% UPT, it is shown from Case1 that Operator 1 has a relatively high throughput with omni-directional LBT compared to the same LBT mechanism used for </w:t>
      </w:r>
      <w:r>
        <w:rPr>
          <w:lang w:val="en-US" w:eastAsia="zh-CN"/>
        </w:rPr>
        <w:t>Operator 2</w:t>
      </w:r>
      <w:r>
        <w:rPr>
          <w:rFonts w:hint="eastAsia"/>
          <w:lang w:val="en-US" w:eastAsia="zh-CN"/>
        </w:rPr>
        <w:t xml:space="preserve">, while the opposite trend is appeared in 95% UPT. </w:t>
      </w:r>
      <w:r>
        <w:rPr>
          <w:lang w:val="en-US" w:eastAsia="zh-CN"/>
        </w:rPr>
        <w:t>T</w:t>
      </w:r>
      <w:r>
        <w:rPr>
          <w:rFonts w:hint="eastAsia"/>
          <w:lang w:val="en-US" w:eastAsia="zh-CN"/>
        </w:rPr>
        <w:t xml:space="preserve">he performance difference between </w:t>
      </w:r>
      <w:r>
        <w:rPr>
          <w:lang w:val="en-US" w:eastAsia="zh-CN"/>
        </w:rPr>
        <w:t>the two operators</w:t>
      </w:r>
      <w:r>
        <w:rPr>
          <w:rFonts w:hint="eastAsia"/>
          <w:lang w:val="en-US" w:eastAsia="zh-CN"/>
        </w:rPr>
        <w:t xml:space="preserve"> is </w:t>
      </w:r>
      <w:r>
        <w:rPr>
          <w:lang w:val="en-US" w:eastAsia="zh-CN"/>
        </w:rPr>
        <w:t>mainly due to the random distribution of the nodes in this simulation drop which is not friendly to operator 2</w:t>
      </w:r>
      <w:r>
        <w:rPr>
          <w:rFonts w:hint="eastAsia"/>
          <w:lang w:val="en-US" w:eastAsia="zh-CN"/>
        </w:rPr>
        <w:t xml:space="preserve"> in certain cases. However, we can see from Case 2 that such phenomenon is mitigated when directional LBT is used for NR-U instead of omni-directional LBT. Further, we can also observed that </w:t>
      </w:r>
      <w:r>
        <w:rPr>
          <w:lang w:val="en-US" w:eastAsia="zh-CN"/>
        </w:rPr>
        <w:t xml:space="preserve">the </w:t>
      </w:r>
      <w:r>
        <w:rPr>
          <w:rFonts w:hint="eastAsia"/>
          <w:lang w:val="en-US" w:eastAsia="zh-CN"/>
        </w:rPr>
        <w:t>performance</w:t>
      </w:r>
      <w:r>
        <w:rPr>
          <w:lang w:val="en-US" w:eastAsia="zh-CN"/>
        </w:rPr>
        <w:t xml:space="preserve"> of </w:t>
      </w:r>
      <w:r>
        <w:rPr>
          <w:rFonts w:eastAsia="宋体" w:hint="eastAsia"/>
          <w:lang w:val="en-US" w:eastAsia="zh-CN"/>
        </w:rPr>
        <w:t>O</w:t>
      </w:r>
      <w:r>
        <w:rPr>
          <w:lang w:val="en-US" w:eastAsia="zh-CN"/>
        </w:rPr>
        <w:t>perator 1 assuming omni-directional LBT</w:t>
      </w:r>
      <w:r>
        <w:rPr>
          <w:rFonts w:hint="eastAsia"/>
          <w:lang w:val="en-US" w:eastAsia="zh-CN"/>
        </w:rPr>
        <w:t xml:space="preserve"> was not significantly affected even if directional LBT is used for </w:t>
      </w:r>
      <w:r>
        <w:rPr>
          <w:lang w:val="en-US" w:eastAsia="zh-CN"/>
        </w:rPr>
        <w:t>Operator 2</w:t>
      </w:r>
      <w:r>
        <w:rPr>
          <w:rFonts w:hint="eastAsia"/>
          <w:lang w:val="en-US" w:eastAsia="zh-CN"/>
        </w:rPr>
        <w:t>.</w:t>
      </w:r>
    </w:p>
    <w:p w:rsidR="00494751" w:rsidRDefault="004937C7">
      <w:pPr>
        <w:numPr>
          <w:ilvl w:val="255"/>
          <w:numId w:val="0"/>
        </w:numPr>
        <w:tabs>
          <w:tab w:val="left" w:pos="450"/>
          <w:tab w:val="left" w:pos="720"/>
        </w:tabs>
        <w:jc w:val="both"/>
        <w:rPr>
          <w:lang w:val="en-US" w:eastAsia="zh-CN"/>
        </w:rPr>
      </w:pPr>
      <w:r>
        <w:rPr>
          <w:rFonts w:hint="eastAsia"/>
          <w:lang w:val="en-US" w:eastAsia="zh-CN"/>
        </w:rPr>
        <w:t xml:space="preserve">Therefore, we note based on the following simulation result and the above analysis that these results are consistent with our analysis mentioned in Section 2.3.1 and 2.3.2 and the principle of friendly and fair coexistence, that is, directional LBT is benefit for directional beam transmission mode and </w:t>
      </w:r>
      <w:r>
        <w:rPr>
          <w:lang w:val="en-US" w:eastAsia="zh-CN"/>
        </w:rPr>
        <w:t>the</w:t>
      </w:r>
      <w:r>
        <w:rPr>
          <w:rFonts w:hint="eastAsia"/>
          <w:lang w:val="en-US" w:eastAsia="zh-CN"/>
        </w:rPr>
        <w:t xml:space="preserve"> impact on the performance of </w:t>
      </w:r>
      <w:r>
        <w:rPr>
          <w:lang w:val="en-US" w:eastAsia="zh-CN"/>
        </w:rPr>
        <w:t xml:space="preserve">existing </w:t>
      </w:r>
      <w:r>
        <w:rPr>
          <w:rFonts w:hint="eastAsia"/>
          <w:lang w:val="en-US" w:eastAsia="zh-CN"/>
        </w:rPr>
        <w:t>Wi-Fi system</w:t>
      </w:r>
      <w:r>
        <w:rPr>
          <w:lang w:val="en-US" w:eastAsia="zh-CN"/>
        </w:rPr>
        <w:t xml:space="preserve"> is negligible</w:t>
      </w:r>
      <w:r>
        <w:rPr>
          <w:rFonts w:hint="eastAsia"/>
          <w:lang w:val="en-US" w:eastAsia="zh-CN"/>
        </w:rPr>
        <w:t>.</w:t>
      </w:r>
    </w:p>
    <w:p w:rsidR="00494751" w:rsidRDefault="00494751">
      <w:pPr>
        <w:pStyle w:val="ListParagraph"/>
        <w:numPr>
          <w:ilvl w:val="255"/>
          <w:numId w:val="0"/>
        </w:numPr>
        <w:tabs>
          <w:tab w:val="left" w:pos="450"/>
          <w:tab w:val="left" w:pos="720"/>
        </w:tabs>
        <w:jc w:val="both"/>
        <w:rPr>
          <w:lang w:val="en-US" w:eastAsia="zh-CN"/>
        </w:rPr>
      </w:pPr>
    </w:p>
    <w:p w:rsidR="00494751" w:rsidRDefault="004937C7" w:rsidP="00D77BF6">
      <w:pPr>
        <w:jc w:val="center"/>
      </w:pPr>
      <w:r>
        <w:rPr>
          <w:noProof/>
          <w:lang w:val="en-US" w:eastAsia="zh-CN"/>
        </w:rPr>
        <w:drawing>
          <wp:inline distT="0" distB="0" distL="114300" distR="114300">
            <wp:extent cx="2426970" cy="1801495"/>
            <wp:effectExtent l="4445" t="4445" r="6985" b="10160"/>
            <wp:docPr id="1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eastAsia="宋体" w:hint="eastAsia"/>
          <w:lang w:val="en-US" w:eastAsia="zh-CN"/>
        </w:rPr>
        <w:t xml:space="preserve">   </w:t>
      </w:r>
      <w:r>
        <w:rPr>
          <w:noProof/>
          <w:lang w:val="en-US" w:eastAsia="zh-CN"/>
        </w:rPr>
        <w:drawing>
          <wp:inline distT="0" distB="0" distL="114300" distR="114300">
            <wp:extent cx="2628900" cy="1812925"/>
            <wp:effectExtent l="4445" t="4445" r="8255" b="1143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94751" w:rsidRDefault="004937C7" w:rsidP="00D77BF6">
      <w:pPr>
        <w:jc w:val="center"/>
      </w:pPr>
      <w:r>
        <w:rPr>
          <w:noProof/>
          <w:lang w:val="en-US" w:eastAsia="zh-CN"/>
        </w:rPr>
        <w:lastRenderedPageBreak/>
        <w:drawing>
          <wp:inline distT="0" distB="0" distL="114300" distR="114300">
            <wp:extent cx="2446020" cy="1795780"/>
            <wp:effectExtent l="4445" t="4445" r="13335" b="15875"/>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eastAsia="宋体" w:hint="eastAsia"/>
          <w:lang w:val="en-US" w:eastAsia="zh-CN"/>
        </w:rPr>
        <w:t xml:space="preserve">   </w:t>
      </w:r>
      <w:r>
        <w:rPr>
          <w:noProof/>
          <w:lang w:val="en-US" w:eastAsia="zh-CN"/>
        </w:rPr>
        <w:drawing>
          <wp:inline distT="0" distB="0" distL="114300" distR="114300">
            <wp:extent cx="2670810" cy="1804670"/>
            <wp:effectExtent l="4445" t="4445" r="17145" b="6985"/>
            <wp:docPr id="1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94751" w:rsidRDefault="004937C7">
      <w:pPr>
        <w:tabs>
          <w:tab w:val="left" w:pos="450"/>
          <w:tab w:val="left" w:pos="720"/>
        </w:tabs>
        <w:jc w:val="center"/>
        <w:rPr>
          <w:rFonts w:eastAsia="宋体"/>
          <w:b/>
          <w:bCs/>
          <w:lang w:val="en-US" w:eastAsia="zh-CN"/>
        </w:rPr>
      </w:pPr>
      <w:r>
        <w:rPr>
          <w:rFonts w:eastAsia="宋体" w:hint="eastAsia"/>
          <w:b/>
          <w:bCs/>
          <w:lang w:val="en-US" w:eastAsia="zh-CN"/>
        </w:rPr>
        <w:t xml:space="preserve">Figure 1 Mean, 5%, 50% and 95% </w:t>
      </w:r>
      <w:r>
        <w:rPr>
          <w:b/>
          <w:bCs/>
          <w:lang w:eastAsia="ko-KR"/>
        </w:rPr>
        <w:t xml:space="preserve">user-perceived throughput for </w:t>
      </w:r>
      <w:r>
        <w:rPr>
          <w:rFonts w:eastAsia="宋体" w:hint="eastAsia"/>
          <w:b/>
          <w:bCs/>
          <w:lang w:val="en-US" w:eastAsia="zh-CN"/>
        </w:rPr>
        <w:t>Case1 and Case 2</w:t>
      </w:r>
    </w:p>
    <w:p w:rsidR="00494751" w:rsidRDefault="004937C7">
      <w:pPr>
        <w:tabs>
          <w:tab w:val="left" w:pos="450"/>
          <w:tab w:val="left" w:pos="720"/>
        </w:tabs>
        <w:jc w:val="both"/>
        <w:rPr>
          <w:b/>
          <w:bCs/>
          <w:lang w:val="en-US" w:eastAsia="zh-CN"/>
        </w:rPr>
      </w:pPr>
      <w:r>
        <w:rPr>
          <w:rFonts w:hint="eastAsia"/>
          <w:b/>
          <w:bCs/>
          <w:lang w:val="en-US" w:eastAsia="zh-CN"/>
        </w:rPr>
        <w:t>Observation 1: According to regulation of ETSI EN 302 567 v2.1.20, at least LBT operation should be supported in Europe area for above 52.6 GHz.</w:t>
      </w:r>
    </w:p>
    <w:p w:rsidR="00494751" w:rsidRDefault="004937C7">
      <w:pPr>
        <w:tabs>
          <w:tab w:val="left" w:pos="450"/>
          <w:tab w:val="left" w:pos="720"/>
        </w:tabs>
        <w:jc w:val="both"/>
        <w:rPr>
          <w:rFonts w:eastAsia="宋体"/>
          <w:b/>
          <w:bCs/>
          <w:lang w:val="en-US" w:eastAsia="zh-CN"/>
        </w:rPr>
      </w:pPr>
      <w:r>
        <w:rPr>
          <w:rFonts w:hint="eastAsia"/>
          <w:b/>
          <w:bCs/>
          <w:lang w:val="en-US" w:eastAsia="zh-CN"/>
        </w:rPr>
        <w:t>Observation 2: Compared to omni-directional LBT, directional LBT is benefi</w:t>
      </w:r>
      <w:r>
        <w:rPr>
          <w:b/>
          <w:bCs/>
          <w:lang w:val="en-US" w:eastAsia="zh-CN"/>
        </w:rPr>
        <w:t>cial</w:t>
      </w:r>
      <w:r>
        <w:rPr>
          <w:rFonts w:hint="eastAsia"/>
          <w:b/>
          <w:bCs/>
          <w:lang w:val="en-US" w:eastAsia="zh-CN"/>
        </w:rPr>
        <w:t xml:space="preserve"> to increase the probability of channel access and the spatial reuse efficiency for NR-U</w:t>
      </w:r>
      <w:r>
        <w:rPr>
          <w:b/>
          <w:bCs/>
          <w:lang w:val="en-US" w:eastAsia="zh-CN"/>
        </w:rPr>
        <w:t>,</w:t>
      </w:r>
      <w:r>
        <w:rPr>
          <w:rFonts w:hint="eastAsia"/>
          <w:b/>
          <w:bCs/>
          <w:lang w:val="en-US" w:eastAsia="zh-CN"/>
        </w:rPr>
        <w:t xml:space="preserve"> and </w:t>
      </w:r>
      <w:r>
        <w:rPr>
          <w:b/>
          <w:bCs/>
          <w:lang w:val="en-US" w:eastAsia="zh-CN"/>
        </w:rPr>
        <w:t>the impact on the performance of the existed</w:t>
      </w:r>
      <w:r>
        <w:rPr>
          <w:rFonts w:hint="eastAsia"/>
          <w:b/>
          <w:bCs/>
          <w:lang w:val="en-US" w:eastAsia="zh-CN"/>
        </w:rPr>
        <w:t xml:space="preserve"> Wi-Fi system</w:t>
      </w:r>
      <w:r>
        <w:rPr>
          <w:b/>
          <w:bCs/>
          <w:lang w:val="en-US" w:eastAsia="zh-CN"/>
        </w:rPr>
        <w:t xml:space="preserve"> is negligible</w:t>
      </w:r>
      <w:r>
        <w:rPr>
          <w:rFonts w:hint="eastAsia"/>
          <w:b/>
          <w:bCs/>
          <w:lang w:val="en-US" w:eastAsia="zh-CN"/>
        </w:rPr>
        <w:t xml:space="preserve">. </w:t>
      </w:r>
    </w:p>
    <w:p w:rsidR="00494751" w:rsidRDefault="004937C7">
      <w:pPr>
        <w:pStyle w:val="Heading3"/>
        <w:rPr>
          <w:rFonts w:ascii="Times New Roman" w:hAnsi="Times New Roman" w:cs="Times New Roman"/>
          <w:b/>
          <w:bCs w:val="0"/>
          <w:lang w:val="en-US" w:eastAsia="zh-CN"/>
        </w:rPr>
      </w:pPr>
      <w:r>
        <w:rPr>
          <w:rFonts w:eastAsia="宋体" w:hint="eastAsia"/>
          <w:b/>
          <w:lang w:val="en-US" w:eastAsia="zh-CN"/>
        </w:rPr>
        <w:t xml:space="preserve"> </w:t>
      </w:r>
      <w:r>
        <w:rPr>
          <w:rFonts w:ascii="Times New Roman" w:hAnsi="Times New Roman" w:cs="Times New Roman" w:hint="eastAsia"/>
          <w:b/>
          <w:bCs w:val="0"/>
          <w:lang w:val="en-US" w:eastAsia="zh-CN"/>
        </w:rPr>
        <w:t>No</w:t>
      </w:r>
      <w:r>
        <w:rPr>
          <w:rFonts w:ascii="Times New Roman" w:hAnsi="Times New Roman" w:cs="Times New Roman"/>
          <w:b/>
          <w:bCs w:val="0"/>
          <w:lang w:val="en-US" w:eastAsia="zh-CN"/>
        </w:rPr>
        <w:t xml:space="preserve"> LBT</w:t>
      </w:r>
    </w:p>
    <w:p w:rsidR="00494751" w:rsidRPr="009C1289" w:rsidRDefault="004937C7">
      <w:pPr>
        <w:pStyle w:val="BodyText"/>
        <w:jc w:val="both"/>
        <w:rPr>
          <w:lang w:val="en-US" w:eastAsia="zh-CN"/>
        </w:rPr>
      </w:pPr>
      <w:r w:rsidRPr="009C1289">
        <w:rPr>
          <w:rFonts w:hint="eastAsia"/>
          <w:lang w:val="en-US" w:eastAsia="zh-CN"/>
        </w:rPr>
        <w:t>For COT sharing case in NR-U low frequency band such as below 7 GHz, No LBT is allowed to use in a case that the gap between DL and UL is less than or equal to 16us. In high frequency, it seems that similar rule can also be used. E.g., when the gap between DL/UL and UL/DL is less than or equal to a certain value, then No LBT still can be used before DL/UL transmission. Preferably, multiple consecutive DL/UL transmissions can adapt the same beam direction.</w:t>
      </w:r>
    </w:p>
    <w:p w:rsidR="00494751" w:rsidRPr="009C1289" w:rsidRDefault="009C1289">
      <w:pPr>
        <w:pStyle w:val="BodyText"/>
        <w:jc w:val="both"/>
        <w:rPr>
          <w:lang w:val="en-US" w:eastAsia="zh-CN"/>
        </w:rPr>
      </w:pPr>
      <w:r w:rsidRPr="009C1289">
        <w:rPr>
          <w:rFonts w:hint="eastAsia"/>
          <w:lang w:val="en-US" w:eastAsia="zh-CN"/>
        </w:rPr>
        <w:t xml:space="preserve">Another </w:t>
      </w:r>
      <w:r w:rsidR="004937C7" w:rsidRPr="009C1289">
        <w:rPr>
          <w:rFonts w:hint="eastAsia"/>
          <w:lang w:val="en-US" w:eastAsia="zh-CN"/>
        </w:rPr>
        <w:t>straightforward use case is that No LBT can be used for some areas such as ITU region 2 and 3. That is to say, in these areas, the node cannot perform any LBT operation and directly transmit transmission before transmission. Wherein, in Europe area</w:t>
      </w:r>
      <w:r w:rsidR="004937C7" w:rsidRPr="009C1289">
        <w:rPr>
          <w:rFonts w:eastAsia="宋体" w:hint="eastAsia"/>
          <w:lang w:val="en-US" w:eastAsia="zh-CN"/>
        </w:rPr>
        <w:t>, LBT is mandatory to be used for unlicensed carrier in order to comply with regulatory requirements applicable to frequencies between 57 GHz and 66 GHz.</w:t>
      </w:r>
    </w:p>
    <w:p w:rsidR="00494751" w:rsidRPr="009C1289" w:rsidRDefault="004937C7">
      <w:pPr>
        <w:pStyle w:val="BodyText"/>
        <w:jc w:val="both"/>
        <w:rPr>
          <w:lang w:val="en-US" w:eastAsia="zh-CN"/>
        </w:rPr>
      </w:pPr>
      <w:r w:rsidRPr="009C1289">
        <w:rPr>
          <w:rFonts w:hint="eastAsia"/>
          <w:lang w:val="en-US" w:eastAsia="zh-CN"/>
        </w:rPr>
        <w:t>Another use case is interference controlled environment, that is, the node preparing to transmit does not interfere with the ongoing transmission node.</w:t>
      </w:r>
    </w:p>
    <w:p w:rsidR="00494751" w:rsidRPr="009C1289" w:rsidRDefault="004937C7">
      <w:pPr>
        <w:pStyle w:val="BodyText"/>
        <w:jc w:val="both"/>
        <w:rPr>
          <w:lang w:val="en-US" w:eastAsia="zh-CN"/>
        </w:rPr>
      </w:pPr>
      <w:r w:rsidRPr="009C1289">
        <w:rPr>
          <w:rFonts w:hint="eastAsia"/>
          <w:lang w:val="en-US" w:eastAsia="zh-CN"/>
        </w:rPr>
        <w:t xml:space="preserve">A common case that NR-U and NR-U coexistence scenario if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 However, once one node falls into the beam range of another node, and LBT is not performed for the node preparing to transmit, then it may cause seriously </w:t>
      </w:r>
      <w:r w:rsidRPr="009C1289">
        <w:rPr>
          <w:lang w:val="en-US" w:eastAsia="zh-CN"/>
        </w:rPr>
        <w:t>impact</w:t>
      </w:r>
      <w:r w:rsidRPr="009C1289">
        <w:rPr>
          <w:rFonts w:hint="eastAsia"/>
          <w:lang w:val="en-US" w:eastAsia="zh-CN"/>
        </w:rPr>
        <w:t xml:space="preserve"> on the performance of the node that is already transmitting. </w:t>
      </w:r>
    </w:p>
    <w:p w:rsidR="00494751" w:rsidRPr="009C1289" w:rsidRDefault="004937C7" w:rsidP="009C1289">
      <w:pPr>
        <w:pStyle w:val="BodyText"/>
        <w:jc w:val="both"/>
        <w:rPr>
          <w:rFonts w:eastAsiaTheme="minorEastAsia"/>
          <w:lang w:val="en-US" w:eastAsia="zh-CN"/>
        </w:rPr>
      </w:pPr>
      <w:r w:rsidRPr="009C1289">
        <w:rPr>
          <w:rFonts w:hint="eastAsia"/>
          <w:lang w:val="en-US" w:eastAsia="zh-CN"/>
        </w:rPr>
        <w:t xml:space="preserve">Based on the above analysis, we can see that No LBT can be applied in some specific scenarios and even can be extended to more cases in the future. </w:t>
      </w:r>
      <w:r w:rsidR="009C1289">
        <w:rPr>
          <w:lang w:val="en-US" w:eastAsia="zh-CN"/>
        </w:rPr>
        <w:t xml:space="preserve">In our understanding, no LBT should be workable only if </w:t>
      </w:r>
      <w:r w:rsidR="003E406C">
        <w:rPr>
          <w:lang w:val="en-US" w:eastAsia="zh-CN"/>
        </w:rPr>
        <w:t>some</w:t>
      </w:r>
      <w:r w:rsidR="009C1289">
        <w:rPr>
          <w:lang w:val="en-US" w:eastAsia="zh-CN"/>
        </w:rPr>
        <w:t xml:space="preserve"> interference elimination mechanisms are applied</w:t>
      </w:r>
      <w:r w:rsidR="003E406C">
        <w:rPr>
          <w:lang w:val="en-US" w:eastAsia="zh-CN"/>
        </w:rPr>
        <w:t xml:space="preserve"> on top of it</w:t>
      </w:r>
      <w:r w:rsidR="009C1289">
        <w:rPr>
          <w:lang w:val="en-US" w:eastAsia="zh-CN"/>
        </w:rPr>
        <w:t xml:space="preserve">, e.g. </w:t>
      </w:r>
      <w:r w:rsidR="009C1289" w:rsidRPr="009C1289">
        <w:rPr>
          <w:lang w:val="en-US" w:eastAsia="zh-CN"/>
        </w:rPr>
        <w:t>Automatic Transmit Power Control (ATPC), Dynamic frequency selection (DFS), duty cycle</w:t>
      </w:r>
      <w:r w:rsidR="009C1289">
        <w:rPr>
          <w:lang w:val="en-US" w:eastAsia="zh-CN"/>
        </w:rPr>
        <w:t>. If no LBT is supported, the spec impact of introducing such enhancement should be further studied and evaluated.</w:t>
      </w:r>
    </w:p>
    <w:p w:rsidR="00494751" w:rsidRDefault="004937C7">
      <w:pPr>
        <w:tabs>
          <w:tab w:val="left" w:pos="450"/>
          <w:tab w:val="left" w:pos="720"/>
        </w:tabs>
        <w:jc w:val="both"/>
        <w:rPr>
          <w:b/>
          <w:bCs/>
          <w:lang w:val="en-US" w:eastAsia="zh-CN"/>
        </w:rPr>
      </w:pPr>
      <w:r>
        <w:rPr>
          <w:rFonts w:hint="eastAsia"/>
          <w:b/>
          <w:bCs/>
          <w:lang w:val="en-US" w:eastAsia="zh-CN"/>
        </w:rPr>
        <w:t>Observation 3: No LBT can be considered to be used in COT sharing case and interference controlled environment.</w:t>
      </w:r>
    </w:p>
    <w:p w:rsidR="003E406C" w:rsidRDefault="004937C7" w:rsidP="003E406C">
      <w:pPr>
        <w:tabs>
          <w:tab w:val="left" w:pos="450"/>
          <w:tab w:val="left" w:pos="720"/>
        </w:tabs>
        <w:spacing w:after="60" w:line="260" w:lineRule="auto"/>
        <w:jc w:val="both"/>
        <w:rPr>
          <w:lang w:val="en-US" w:eastAsia="zh-CN"/>
        </w:rPr>
      </w:pPr>
      <w:r>
        <w:rPr>
          <w:rFonts w:hint="eastAsia"/>
          <w:b/>
          <w:bCs/>
          <w:lang w:val="en-US" w:eastAsia="zh-CN"/>
        </w:rPr>
        <w:t xml:space="preserve">Observation 4: </w:t>
      </w:r>
      <w:r w:rsidR="003E406C" w:rsidRPr="003E406C">
        <w:rPr>
          <w:b/>
          <w:bCs/>
          <w:lang w:val="en-US" w:eastAsia="zh-CN"/>
        </w:rPr>
        <w:t>No LBT should be workable only if some interference elimination mechanisms are applied on top of it</w:t>
      </w:r>
      <w:r w:rsidR="001404C3">
        <w:rPr>
          <w:b/>
          <w:bCs/>
          <w:lang w:val="en-US" w:eastAsia="zh-CN"/>
        </w:rPr>
        <w:t>.</w:t>
      </w:r>
      <w:r w:rsidR="003E406C" w:rsidRPr="003E406C">
        <w:rPr>
          <w:b/>
          <w:bCs/>
          <w:lang w:val="en-US" w:eastAsia="zh-CN"/>
        </w:rPr>
        <w:t xml:space="preserve"> If no LBT is supported, the spec impact of introducing such enhancement should be further studied and evaluated.</w:t>
      </w:r>
    </w:p>
    <w:p w:rsidR="00494751" w:rsidRDefault="004937C7" w:rsidP="003E406C">
      <w:pPr>
        <w:tabs>
          <w:tab w:val="left" w:pos="450"/>
          <w:tab w:val="left" w:pos="720"/>
        </w:tabs>
        <w:spacing w:after="60" w:line="260" w:lineRule="auto"/>
        <w:jc w:val="both"/>
        <w:rPr>
          <w:b/>
          <w:bCs/>
          <w:lang w:val="en-US" w:eastAsia="zh-CN"/>
        </w:rPr>
      </w:pPr>
      <w:r>
        <w:rPr>
          <w:rFonts w:hint="eastAsia"/>
          <w:b/>
          <w:bCs/>
          <w:lang w:val="en-US" w:eastAsia="zh-CN"/>
        </w:rPr>
        <w:lastRenderedPageBreak/>
        <w:t xml:space="preserve">Proposal 4: Release 17 NR-U should consider supporting different channel access modes for above 52.6 GHz, e.g., directional LBT and No LBT. </w:t>
      </w:r>
    </w:p>
    <w:bookmarkEnd w:id="6"/>
    <w:p w:rsidR="00494751" w:rsidRDefault="004937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LBT for MCOT Sharing between DL and UL</w:t>
      </w:r>
    </w:p>
    <w:p w:rsidR="00494751" w:rsidRDefault="004937C7">
      <w:pPr>
        <w:jc w:val="both"/>
        <w:rPr>
          <w:lang w:val="en-US" w:eastAsia="zh-CN"/>
        </w:rPr>
      </w:pPr>
      <w:r>
        <w:rPr>
          <w:rFonts w:hint="eastAsia"/>
          <w:lang w:val="en-US" w:eastAsia="zh-CN"/>
        </w:rPr>
        <w:t xml:space="preserve">In LTE-LAA, if the nodes perform Type1 channel access mechanism with omni-directional beam successfully, it </w:t>
      </w:r>
      <w:r>
        <w:rPr>
          <w:lang w:val="en-US" w:eastAsia="zh-CN"/>
        </w:rPr>
        <w:t>is</w:t>
      </w:r>
      <w:r>
        <w:rPr>
          <w:rFonts w:hint="eastAsia"/>
          <w:lang w:val="en-US" w:eastAsia="zh-CN"/>
        </w:rPr>
        <w:t xml:space="preserve"> allowed to transmit within a MCOT. Further, if this MCOT can be</w:t>
      </w:r>
      <w:r>
        <w:rPr>
          <w:lang w:val="en-US" w:eastAsia="zh-CN"/>
        </w:rPr>
        <w:t xml:space="preserve"> </w:t>
      </w:r>
      <w:r>
        <w:rPr>
          <w:rFonts w:hint="eastAsia"/>
          <w:lang w:val="en-US" w:eastAsia="zh-CN"/>
        </w:rPr>
        <w:t>shared with other nodes</w:t>
      </w:r>
      <w:r>
        <w:rPr>
          <w:lang w:val="en-US" w:eastAsia="zh-CN"/>
        </w:rPr>
        <w:t xml:space="preserve"> </w:t>
      </w:r>
      <w:r>
        <w:rPr>
          <w:rFonts w:hint="eastAsia"/>
          <w:lang w:val="en-US" w:eastAsia="zh-CN"/>
        </w:rPr>
        <w:t xml:space="preserve">(e.g., eNB or UE), the other nodes need to perform Type 2 channel access mechanism with omni-directional beam. </w:t>
      </w:r>
    </w:p>
    <w:p w:rsidR="00494751" w:rsidRDefault="004937C7">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high frequency band may be different compared with LTE-LAA. Owing to the beamforming transmission mode, in order to transmit message to </w:t>
      </w:r>
      <w:r>
        <w:rPr>
          <w:lang w:val="en-US" w:eastAsia="zh-CN"/>
        </w:rPr>
        <w:t xml:space="preserve">the </w:t>
      </w:r>
      <w:r>
        <w:rPr>
          <w:rFonts w:hint="eastAsia"/>
          <w:lang w:val="en-US" w:eastAsia="zh-CN"/>
        </w:rPr>
        <w:t>serving UEs in a certain beam range, gNB needs to transmit different beams toward different directions, which can be within the same or different time units. Therefore, for this situation, if LTE-LAA LBT for MOCT is simply reused, gNB only performs a omni-directional LBT at the beginning of the MCOT and does not perform any LBT operation for the remaining DL transmission within MCOT, it may cause a problem that within MCOT some beams experience an unoccupied channel and the other beams encounter a channel with higher interference from other coexisting nodes. In order to avoid this issue, same beam direction can be used for consecutive transmission, or enhancement channel access schemes for COT sharing case or introduce gap for LBT between DL/UL consecutive transmissions with different beams within COT.</w:t>
      </w:r>
    </w:p>
    <w:p w:rsidR="00494751" w:rsidRDefault="004937C7">
      <w:pPr>
        <w:spacing w:line="260" w:lineRule="auto"/>
        <w:jc w:val="both"/>
        <w:rPr>
          <w:b/>
          <w:bCs/>
          <w:lang w:val="en-US" w:eastAsia="zh-CN"/>
        </w:rPr>
      </w:pPr>
      <w:r>
        <w:rPr>
          <w:rFonts w:hint="eastAsia"/>
          <w:b/>
          <w:bCs/>
          <w:lang w:val="en-US" w:eastAsia="zh-CN"/>
        </w:rPr>
        <w:t xml:space="preserve">Proposal 5: For multiple transmission(s) with different beams case, channel condition difference for different beams </w:t>
      </w:r>
      <w:r>
        <w:rPr>
          <w:b/>
          <w:bCs/>
          <w:lang w:val="en-US" w:eastAsia="zh-CN"/>
        </w:rPr>
        <w:t xml:space="preserve">should be considered </w:t>
      </w:r>
      <w:r>
        <w:rPr>
          <w:rFonts w:hint="eastAsia"/>
          <w:b/>
          <w:bCs/>
          <w:lang w:val="en-US" w:eastAsia="zh-CN"/>
        </w:rPr>
        <w:t xml:space="preserve">when designing the channel access schemes for COT </w:t>
      </w:r>
      <w:r>
        <w:rPr>
          <w:b/>
          <w:bCs/>
          <w:lang w:val="en-US" w:eastAsia="zh-CN"/>
        </w:rPr>
        <w:t>s</w:t>
      </w:r>
      <w:r>
        <w:rPr>
          <w:rFonts w:hint="eastAsia"/>
          <w:b/>
          <w:bCs/>
          <w:lang w:val="en-US" w:eastAsia="zh-CN"/>
        </w:rPr>
        <w:t xml:space="preserve">haring in NR unlicensed spectrum. </w:t>
      </w:r>
    </w:p>
    <w:bookmarkEnd w:id="0"/>
    <w:bookmarkEnd w:id="2"/>
    <w:bookmarkEnd w:id="3"/>
    <w:bookmarkEnd w:id="4"/>
    <w:bookmarkEnd w:id="5"/>
    <w:p w:rsidR="00494751" w:rsidRDefault="004937C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494751" w:rsidRDefault="004937C7">
      <w:pPr>
        <w:rPr>
          <w:lang w:val="en-US" w:eastAsia="zh-CN"/>
        </w:rPr>
      </w:pPr>
      <w:r>
        <w:rPr>
          <w:rFonts w:hint="eastAsia"/>
          <w:lang w:val="en-US" w:eastAsia="zh-CN"/>
        </w:rPr>
        <w:t xml:space="preserve">In this contribution, we share some our views on channel access mechanism for frequencies between </w:t>
      </w:r>
      <w:r>
        <w:rPr>
          <w:rFonts w:eastAsia="宋体" w:hint="eastAsia"/>
          <w:lang w:val="en-US" w:eastAsia="zh-CN"/>
        </w:rPr>
        <w:t>52.6 GHz and 71 GHz</w:t>
      </w:r>
      <w:r>
        <w:rPr>
          <w:lang w:val="en-US"/>
        </w:rPr>
        <w:t xml:space="preserve"> in different aspects</w:t>
      </w:r>
      <w:r>
        <w:rPr>
          <w:rFonts w:eastAsia="宋体" w:hint="eastAsia"/>
          <w:lang w:val="en-US" w:eastAsia="zh-CN"/>
        </w:rPr>
        <w:t xml:space="preserve"> and provide </w:t>
      </w:r>
      <w:r>
        <w:rPr>
          <w:rFonts w:hint="eastAsia"/>
          <w:lang w:val="en-US" w:eastAsia="zh-CN"/>
        </w:rPr>
        <w:t>the following proposal:</w:t>
      </w:r>
    </w:p>
    <w:p w:rsidR="005610FA" w:rsidRDefault="005610FA" w:rsidP="005610FA">
      <w:pPr>
        <w:tabs>
          <w:tab w:val="left" w:pos="450"/>
          <w:tab w:val="left" w:pos="720"/>
        </w:tabs>
        <w:jc w:val="both"/>
        <w:rPr>
          <w:b/>
          <w:bCs/>
          <w:lang w:val="en-US" w:eastAsia="zh-CN"/>
        </w:rPr>
      </w:pPr>
      <w:r>
        <w:rPr>
          <w:rFonts w:hint="eastAsia"/>
          <w:b/>
          <w:bCs/>
          <w:lang w:val="en-US" w:eastAsia="zh-CN"/>
        </w:rPr>
        <w:t>Observation 1: According to regulation of ETSI EN 302 567 v2.1.20, at least LBT operation should be supported in Europe area for above 52.6 GHz.</w:t>
      </w:r>
    </w:p>
    <w:p w:rsidR="005610FA" w:rsidRDefault="005610FA" w:rsidP="005610FA">
      <w:pPr>
        <w:tabs>
          <w:tab w:val="left" w:pos="450"/>
          <w:tab w:val="left" w:pos="720"/>
        </w:tabs>
        <w:jc w:val="both"/>
        <w:rPr>
          <w:rFonts w:eastAsia="宋体"/>
          <w:b/>
          <w:bCs/>
          <w:lang w:val="en-US" w:eastAsia="zh-CN"/>
        </w:rPr>
      </w:pPr>
      <w:r>
        <w:rPr>
          <w:rFonts w:hint="eastAsia"/>
          <w:b/>
          <w:bCs/>
          <w:lang w:val="en-US" w:eastAsia="zh-CN"/>
        </w:rPr>
        <w:t>Observation 2: Compared to omni-directional LBT, directional LBT is benefi</w:t>
      </w:r>
      <w:r>
        <w:rPr>
          <w:b/>
          <w:bCs/>
          <w:lang w:val="en-US" w:eastAsia="zh-CN"/>
        </w:rPr>
        <w:t>cial</w:t>
      </w:r>
      <w:r>
        <w:rPr>
          <w:rFonts w:hint="eastAsia"/>
          <w:b/>
          <w:bCs/>
          <w:lang w:val="en-US" w:eastAsia="zh-CN"/>
        </w:rPr>
        <w:t xml:space="preserve"> to increase the probability of channel access and the spatial reuse efficiency for NR-U</w:t>
      </w:r>
      <w:r>
        <w:rPr>
          <w:b/>
          <w:bCs/>
          <w:lang w:val="en-US" w:eastAsia="zh-CN"/>
        </w:rPr>
        <w:t>,</w:t>
      </w:r>
      <w:r>
        <w:rPr>
          <w:rFonts w:hint="eastAsia"/>
          <w:b/>
          <w:bCs/>
          <w:lang w:val="en-US" w:eastAsia="zh-CN"/>
        </w:rPr>
        <w:t xml:space="preserve"> and </w:t>
      </w:r>
      <w:r>
        <w:rPr>
          <w:b/>
          <w:bCs/>
          <w:lang w:val="en-US" w:eastAsia="zh-CN"/>
        </w:rPr>
        <w:t>the impact on the performance of the existed</w:t>
      </w:r>
      <w:r>
        <w:rPr>
          <w:rFonts w:hint="eastAsia"/>
          <w:b/>
          <w:bCs/>
          <w:lang w:val="en-US" w:eastAsia="zh-CN"/>
        </w:rPr>
        <w:t xml:space="preserve"> Wi-Fi system</w:t>
      </w:r>
      <w:r>
        <w:rPr>
          <w:b/>
          <w:bCs/>
          <w:lang w:val="en-US" w:eastAsia="zh-CN"/>
        </w:rPr>
        <w:t xml:space="preserve"> is negligible</w:t>
      </w:r>
      <w:r>
        <w:rPr>
          <w:rFonts w:hint="eastAsia"/>
          <w:b/>
          <w:bCs/>
          <w:lang w:val="en-US" w:eastAsia="zh-CN"/>
        </w:rPr>
        <w:t xml:space="preserve">. </w:t>
      </w:r>
    </w:p>
    <w:p w:rsidR="001404C3" w:rsidRDefault="001404C3" w:rsidP="001404C3">
      <w:pPr>
        <w:tabs>
          <w:tab w:val="left" w:pos="450"/>
          <w:tab w:val="left" w:pos="720"/>
        </w:tabs>
        <w:jc w:val="both"/>
        <w:rPr>
          <w:b/>
          <w:bCs/>
          <w:lang w:val="en-US" w:eastAsia="zh-CN"/>
        </w:rPr>
      </w:pPr>
      <w:r>
        <w:rPr>
          <w:rFonts w:hint="eastAsia"/>
          <w:b/>
          <w:bCs/>
          <w:lang w:val="en-US" w:eastAsia="zh-CN"/>
        </w:rPr>
        <w:t>Observation 3: No LBT can be considered to be used in COT sharing case and interference controlled environment.</w:t>
      </w:r>
    </w:p>
    <w:p w:rsidR="001404C3" w:rsidRDefault="001404C3" w:rsidP="001404C3">
      <w:pPr>
        <w:tabs>
          <w:tab w:val="left" w:pos="450"/>
          <w:tab w:val="left" w:pos="720"/>
        </w:tabs>
        <w:spacing w:after="60" w:line="260" w:lineRule="auto"/>
        <w:jc w:val="both"/>
        <w:rPr>
          <w:lang w:val="en-US" w:eastAsia="zh-CN"/>
        </w:rPr>
      </w:pPr>
      <w:r>
        <w:rPr>
          <w:rFonts w:hint="eastAsia"/>
          <w:b/>
          <w:bCs/>
          <w:lang w:val="en-US" w:eastAsia="zh-CN"/>
        </w:rPr>
        <w:t xml:space="preserve">Observation 4: </w:t>
      </w:r>
      <w:r w:rsidRPr="003E406C">
        <w:rPr>
          <w:b/>
          <w:bCs/>
          <w:lang w:val="en-US" w:eastAsia="zh-CN"/>
        </w:rPr>
        <w:t>No LBT should be workable only if some interference elimination mechanisms are applied on top of it</w:t>
      </w:r>
      <w:r>
        <w:rPr>
          <w:b/>
          <w:bCs/>
          <w:lang w:val="en-US" w:eastAsia="zh-CN"/>
        </w:rPr>
        <w:t>.</w:t>
      </w:r>
      <w:r w:rsidRPr="003E406C">
        <w:rPr>
          <w:b/>
          <w:bCs/>
          <w:lang w:val="en-US" w:eastAsia="zh-CN"/>
        </w:rPr>
        <w:t xml:space="preserve"> If no LBT is supported, the spec impact of introducing such enhancement should be further studied and evaluated.</w:t>
      </w:r>
    </w:p>
    <w:p w:rsidR="00494751" w:rsidRDefault="004937C7">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b/>
          <w:bCs/>
          <w:lang w:val="en-US" w:eastAsia="zh-CN"/>
        </w:rPr>
        <w:t>The key r</w:t>
      </w:r>
      <w:r>
        <w:rPr>
          <w:b/>
          <w:bCs/>
          <w:lang w:val="en-US"/>
        </w:rPr>
        <w:t xml:space="preserve">egulation rules </w:t>
      </w:r>
      <w:r>
        <w:rPr>
          <w:rFonts w:eastAsia="宋体" w:hint="eastAsia"/>
          <w:b/>
          <w:bCs/>
          <w:lang w:val="en-US" w:eastAsia="zh-CN"/>
        </w:rPr>
        <w:t>for above 52.6 GHz</w:t>
      </w:r>
      <w:r>
        <w:rPr>
          <w:b/>
          <w:bCs/>
          <w:lang w:val="en-US"/>
        </w:rPr>
        <w:t xml:space="preserve">, </w:t>
      </w:r>
      <w:r>
        <w:rPr>
          <w:rFonts w:eastAsia="宋体" w:hint="eastAsia"/>
          <w:b/>
          <w:bCs/>
          <w:lang w:val="en-US" w:eastAsia="zh-CN"/>
        </w:rPr>
        <w:t>including</w:t>
      </w:r>
      <w:r>
        <w:rPr>
          <w:b/>
          <w:bCs/>
          <w:lang w:val="en-US"/>
        </w:rPr>
        <w:t xml:space="preserve"> channel access</w:t>
      </w:r>
      <w:r>
        <w:rPr>
          <w:rFonts w:eastAsia="宋体" w:hint="eastAsia"/>
          <w:b/>
          <w:bCs/>
          <w:lang w:val="en-US" w:eastAsia="zh-CN"/>
        </w:rPr>
        <w:t xml:space="preserve"> mechanism</w:t>
      </w:r>
      <w:r>
        <w:rPr>
          <w:b/>
          <w:bCs/>
          <w:lang w:val="en-US"/>
        </w:rPr>
        <w:t>,</w:t>
      </w:r>
      <w:r>
        <w:rPr>
          <w:rFonts w:eastAsia="宋体" w:hint="eastAsia"/>
          <w:b/>
          <w:bCs/>
          <w:lang w:val="en-US" w:eastAsia="zh-CN"/>
        </w:rPr>
        <w:t xml:space="preserve"> OCB, COT, EIRP and PSD</w:t>
      </w:r>
      <w:r>
        <w:rPr>
          <w:b/>
          <w:bCs/>
          <w:lang w:val="en-US"/>
        </w:rPr>
        <w:t xml:space="preserve"> </w:t>
      </w:r>
      <w:r>
        <w:rPr>
          <w:rFonts w:eastAsia="宋体" w:hint="eastAsia"/>
          <w:b/>
          <w:bCs/>
          <w:lang w:val="en-US" w:eastAsia="zh-CN"/>
        </w:rPr>
        <w:t xml:space="preserve">should be supported and enhanced </w:t>
      </w:r>
      <w:r>
        <w:rPr>
          <w:b/>
          <w:bCs/>
          <w:lang w:val="en-US"/>
        </w:rPr>
        <w:t>to achieve good spectrum sharing</w:t>
      </w:r>
      <w:r>
        <w:rPr>
          <w:rFonts w:eastAsia="宋体" w:hint="eastAsia"/>
          <w:b/>
          <w:bCs/>
          <w:lang w:val="en-US" w:eastAsia="zh-CN"/>
        </w:rPr>
        <w:t xml:space="preserve"> with other systems, especially for Wi-Fi 802.11ad/ay.</w:t>
      </w:r>
    </w:p>
    <w:p w:rsidR="00494751" w:rsidRDefault="004937C7">
      <w:pPr>
        <w:spacing w:before="180" w:after="60" w:line="260" w:lineRule="auto"/>
        <w:jc w:val="both"/>
        <w:rPr>
          <w:rFonts w:eastAsia="宋体"/>
          <w:b/>
          <w:bCs/>
          <w:lang w:val="en-US" w:eastAsia="zh-CN"/>
        </w:rPr>
      </w:pPr>
      <w:r>
        <w:rPr>
          <w:rFonts w:eastAsia="宋体" w:hint="eastAsia"/>
          <w:b/>
          <w:bCs/>
          <w:lang w:val="en-US" w:eastAsia="zh-CN"/>
        </w:rPr>
        <w:t xml:space="preserve">Proposal 2: The channel bandwidth supported by UE and defined in NR can be regarded as the nominal channel bandwidth. </w:t>
      </w:r>
    </w:p>
    <w:p w:rsidR="00691869" w:rsidRDefault="00691869" w:rsidP="00691869">
      <w:pPr>
        <w:spacing w:before="180" w:after="60" w:line="260" w:lineRule="auto"/>
        <w:jc w:val="both"/>
        <w:rPr>
          <w:rFonts w:eastAsia="宋体"/>
          <w:u w:val="single"/>
          <w:lang w:val="en-US" w:eastAsia="zh-CN"/>
        </w:rPr>
      </w:pPr>
      <w:r>
        <w:rPr>
          <w:rFonts w:eastAsia="宋体" w:hint="eastAsia"/>
          <w:b/>
          <w:bCs/>
          <w:lang w:val="en-US" w:eastAsia="zh-CN"/>
        </w:rPr>
        <w:t xml:space="preserve">Proposal 3: If coexistence with Wi-Fi is considered, or the absence of Wi-Fi node cannot be guaranteed, </w:t>
      </w:r>
      <w:r>
        <w:rPr>
          <w:rFonts w:eastAsia="宋体"/>
          <w:b/>
          <w:bCs/>
          <w:lang w:val="en-US" w:eastAsia="zh-CN"/>
        </w:rPr>
        <w:t>the following options can be further studied</w:t>
      </w:r>
      <w:r>
        <w:rPr>
          <w:rFonts w:eastAsia="宋体" w:hint="eastAsia"/>
          <w:b/>
          <w:bCs/>
          <w:lang w:val="en-US" w:eastAsia="zh-CN"/>
        </w:rPr>
        <w:t>:</w:t>
      </w:r>
    </w:p>
    <w:p w:rsidR="00691869" w:rsidRDefault="00691869" w:rsidP="00691869">
      <w:pPr>
        <w:numPr>
          <w:ilvl w:val="0"/>
          <w:numId w:val="20"/>
        </w:numPr>
        <w:spacing w:before="180" w:after="60" w:line="260" w:lineRule="auto"/>
        <w:jc w:val="both"/>
        <w:rPr>
          <w:rFonts w:eastAsia="宋体"/>
          <w:b/>
          <w:bCs/>
          <w:lang w:val="en-US" w:eastAsia="zh-CN"/>
        </w:rPr>
      </w:pPr>
      <w:r>
        <w:rPr>
          <w:rFonts w:eastAsia="宋体" w:hint="eastAsia"/>
          <w:b/>
          <w:bCs/>
          <w:lang w:val="en-US" w:eastAsia="zh-CN"/>
        </w:rPr>
        <w:lastRenderedPageBreak/>
        <w:t>Option 1: Align the channelization of Rel-17 NR with Wi-Fi design at least in unlicensed band (e.g. 57 GHz - 71 GHz) and support 2.16 GHz channel bandwidth</w:t>
      </w:r>
    </w:p>
    <w:p w:rsidR="00691869" w:rsidRPr="00906FD4" w:rsidRDefault="00691869" w:rsidP="00691869">
      <w:pPr>
        <w:numPr>
          <w:ilvl w:val="0"/>
          <w:numId w:val="20"/>
        </w:numPr>
        <w:spacing w:before="180" w:after="60" w:line="260" w:lineRule="auto"/>
        <w:jc w:val="both"/>
        <w:rPr>
          <w:rFonts w:eastAsia="宋体"/>
          <w:b/>
          <w:bCs/>
          <w:lang w:val="en-US" w:eastAsia="zh-CN"/>
        </w:rPr>
      </w:pPr>
      <w:r w:rsidRPr="00691869">
        <w:rPr>
          <w:rFonts w:eastAsia="宋体" w:hint="eastAsia"/>
          <w:b/>
          <w:bCs/>
          <w:lang w:val="en-US" w:eastAsia="zh-CN"/>
        </w:rPr>
        <w:t>Option 2: No need to align the channelization of Rel-17 NR with Wi-Fi design.</w:t>
      </w:r>
      <w:r w:rsidRPr="00691869">
        <w:rPr>
          <w:rFonts w:eastAsia="宋体"/>
          <w:b/>
          <w:bCs/>
          <w:lang w:val="en-US" w:eastAsia="zh-CN"/>
        </w:rPr>
        <w:t xml:space="preserve"> Study</w:t>
      </w:r>
      <w:r w:rsidRPr="00691869">
        <w:rPr>
          <w:rFonts w:eastAsia="宋体" w:hint="eastAsia"/>
          <w:b/>
          <w:bCs/>
          <w:lang w:val="en-US" w:eastAsia="zh-CN"/>
        </w:rPr>
        <w:t xml:space="preserve"> and evaluate </w:t>
      </w:r>
      <w:r>
        <w:rPr>
          <w:rFonts w:eastAsia="宋体"/>
          <w:b/>
          <w:bCs/>
          <w:lang w:val="en-US" w:eastAsia="zh-CN"/>
        </w:rPr>
        <w:t xml:space="preserve">how </w:t>
      </w:r>
      <w:r w:rsidRPr="00691869">
        <w:rPr>
          <w:rFonts w:eastAsia="宋体" w:hint="eastAsia"/>
          <w:b/>
          <w:bCs/>
          <w:lang w:val="en-US" w:eastAsia="zh-CN"/>
        </w:rPr>
        <w:t xml:space="preserve">the coexistence </w:t>
      </w:r>
      <w:r>
        <w:rPr>
          <w:rFonts w:eastAsia="宋体"/>
          <w:b/>
          <w:bCs/>
          <w:lang w:val="en-US" w:eastAsia="zh-CN"/>
        </w:rPr>
        <w:t>is achieved between</w:t>
      </w:r>
      <w:r w:rsidRPr="00691869">
        <w:rPr>
          <w:rFonts w:eastAsia="宋体" w:hint="eastAsia"/>
          <w:b/>
          <w:bCs/>
          <w:lang w:val="en-US" w:eastAsia="zh-CN"/>
        </w:rPr>
        <w:t xml:space="preserve"> NR-U and Wi-Fi under different channel bandwidth. </w:t>
      </w:r>
    </w:p>
    <w:p w:rsidR="00494751" w:rsidRDefault="004937C7">
      <w:pPr>
        <w:pStyle w:val="BodyText"/>
        <w:spacing w:before="180" w:line="260" w:lineRule="auto"/>
        <w:jc w:val="both"/>
        <w:rPr>
          <w:b/>
          <w:bCs/>
          <w:lang w:val="en-US" w:eastAsia="zh-CN"/>
        </w:rPr>
      </w:pPr>
      <w:r>
        <w:rPr>
          <w:rFonts w:hint="eastAsia"/>
          <w:b/>
          <w:bCs/>
          <w:lang w:val="en-US" w:eastAsia="zh-CN"/>
        </w:rPr>
        <w:t xml:space="preserve">Proposal 4: Release 17 NR-U should consider supporting different channel access modes for above 52.6 GHz, e.g., directional LBT and No LBT. </w:t>
      </w:r>
    </w:p>
    <w:p w:rsidR="00494751" w:rsidRDefault="004937C7">
      <w:pPr>
        <w:spacing w:line="260" w:lineRule="auto"/>
        <w:jc w:val="both"/>
        <w:rPr>
          <w:b/>
          <w:bCs/>
          <w:lang w:val="en-US" w:eastAsia="zh-CN"/>
        </w:rPr>
      </w:pPr>
      <w:r>
        <w:rPr>
          <w:rFonts w:hint="eastAsia"/>
          <w:b/>
          <w:bCs/>
          <w:lang w:val="en-US" w:eastAsia="zh-CN"/>
        </w:rPr>
        <w:t xml:space="preserve">Proposal 5: For multiple transmission(s) with different beams case, channel condition difference for different beams </w:t>
      </w:r>
      <w:r>
        <w:rPr>
          <w:b/>
          <w:bCs/>
          <w:lang w:val="en-US" w:eastAsia="zh-CN"/>
        </w:rPr>
        <w:t xml:space="preserve">should be considered </w:t>
      </w:r>
      <w:r>
        <w:rPr>
          <w:rFonts w:hint="eastAsia"/>
          <w:b/>
          <w:bCs/>
          <w:lang w:val="en-US" w:eastAsia="zh-CN"/>
        </w:rPr>
        <w:t xml:space="preserve">when designing the channel access schemes for COT </w:t>
      </w:r>
      <w:r>
        <w:rPr>
          <w:b/>
          <w:bCs/>
          <w:lang w:val="en-US" w:eastAsia="zh-CN"/>
        </w:rPr>
        <w:t>s</w:t>
      </w:r>
      <w:r>
        <w:rPr>
          <w:rFonts w:hint="eastAsia"/>
          <w:b/>
          <w:bCs/>
          <w:lang w:val="en-US" w:eastAsia="zh-CN"/>
        </w:rPr>
        <w:t xml:space="preserve">haring in NR unlicensed spectrum. </w:t>
      </w:r>
    </w:p>
    <w:p w:rsidR="00494751" w:rsidRDefault="004937C7">
      <w:pPr>
        <w:pStyle w:val="Heading1"/>
        <w:spacing w:before="120" w:after="120" w:line="240" w:lineRule="auto"/>
        <w:jc w:val="both"/>
        <w:rPr>
          <w:rFonts w:ascii="Times New Roman" w:eastAsia="宋体" w:hAnsi="Times New Roman"/>
          <w:b/>
          <w:sz w:val="32"/>
          <w:szCs w:val="32"/>
          <w:lang w:val="en-US" w:eastAsia="zh-CN"/>
        </w:rPr>
      </w:pPr>
      <w:bookmarkStart w:id="7" w:name="IDX-CHP-8-0994"/>
      <w:bookmarkStart w:id="8" w:name="IDX-CHP-8-0993"/>
      <w:bookmarkStart w:id="9" w:name="IDX-CHP-8-0996"/>
      <w:bookmarkStart w:id="10" w:name="IDX-CHP-8-0992"/>
      <w:bookmarkStart w:id="11" w:name="IDX-CHP-8-0995"/>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rsidR="00494751" w:rsidRDefault="004937C7">
      <w:pPr>
        <w:widowControl w:val="0"/>
        <w:numPr>
          <w:ilvl w:val="0"/>
          <w:numId w:val="19"/>
        </w:numPr>
        <w:autoSpaceDE w:val="0"/>
        <w:autoSpaceDN w:val="0"/>
        <w:adjustRightInd w:val="0"/>
        <w:spacing w:beforeLines="50" w:before="120" w:afterLines="50" w:after="120" w:line="240" w:lineRule="auto"/>
        <w:jc w:val="both"/>
        <w:rPr>
          <w:rFonts w:eastAsia="宋体"/>
          <w:lang w:val="en-US" w:eastAsia="zh-CN"/>
        </w:rPr>
      </w:pPr>
      <w:bookmarkStart w:id="12" w:name="_Ref481486326"/>
      <w:bookmarkStart w:id="13" w:name="_Ref479756368"/>
      <w:r>
        <w:rPr>
          <w:lang w:val="en-US"/>
        </w:rPr>
        <w:t>RP-1</w:t>
      </w:r>
      <w:r>
        <w:rPr>
          <w:rFonts w:eastAsia="宋体" w:hint="eastAsia"/>
          <w:lang w:val="en-US" w:eastAsia="zh-CN"/>
        </w:rPr>
        <w:t>93259</w:t>
      </w:r>
      <w:r>
        <w:rPr>
          <w:lang w:val="en-US"/>
        </w:rPr>
        <w:t>, “</w:t>
      </w:r>
      <w:r>
        <w:rPr>
          <w:lang w:val="en-US" w:eastAsia="zh-CN"/>
        </w:rPr>
        <w:t>New SID: Study on supporting NR from 52.6GHz to 71GHz</w:t>
      </w:r>
      <w:r>
        <w:rPr>
          <w:lang w:val="en-US"/>
        </w:rPr>
        <w:t xml:space="preserve">”, </w:t>
      </w:r>
      <w:bookmarkEnd w:id="12"/>
      <w:bookmarkEnd w:id="13"/>
      <w:r>
        <w:rPr>
          <w:rFonts w:eastAsia="宋体" w:hint="eastAsia"/>
          <w:lang w:val="en-US" w:eastAsia="zh-CN"/>
        </w:rPr>
        <w:t>Intel</w:t>
      </w:r>
    </w:p>
    <w:p w:rsidR="00494751" w:rsidRDefault="004937C7">
      <w:pPr>
        <w:widowControl w:val="0"/>
        <w:numPr>
          <w:ilvl w:val="0"/>
          <w:numId w:val="19"/>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Chairman's Notes RAN1#102-e v021, August, 2020</w:t>
      </w:r>
    </w:p>
    <w:p w:rsidR="00494751" w:rsidRDefault="004937C7">
      <w:pPr>
        <w:widowControl w:val="0"/>
        <w:numPr>
          <w:ilvl w:val="0"/>
          <w:numId w:val="19"/>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ETSI EN 30</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20</w:t>
      </w:r>
      <w:r>
        <w:rPr>
          <w:rFonts w:eastAsia="宋体"/>
          <w:lang w:val="en-US" w:eastAsia="zh-CN"/>
        </w:rPr>
        <w:t xml:space="preserve">, Harmonized European Standard, </w:t>
      </w:r>
      <w:r>
        <w:rPr>
          <w:rFonts w:eastAsia="宋体" w:hint="eastAsia"/>
          <w:lang w:val="en-US" w:eastAsia="zh-CN"/>
        </w:rPr>
        <w:t>Multiple-Gigabit/s radio equipment operating in the 60GHz band, June, 2020</w:t>
      </w:r>
    </w:p>
    <w:p w:rsidR="00494751" w:rsidRDefault="004937C7">
      <w:pPr>
        <w:widowControl w:val="0"/>
        <w:numPr>
          <w:ilvl w:val="0"/>
          <w:numId w:val="19"/>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R1-2007965, </w:t>
      </w:r>
      <w:r>
        <w:rPr>
          <w:rFonts w:eastAsia="宋体"/>
          <w:lang w:val="en-US" w:eastAsia="zh-CN"/>
        </w:rPr>
        <w:t>“</w:t>
      </w:r>
      <w:r>
        <w:rPr>
          <w:rFonts w:eastAsia="宋体" w:hint="eastAsia"/>
          <w:lang w:val="en-US" w:eastAsia="zh-CN"/>
        </w:rPr>
        <w:t>On the required changes to NR for above 52.6GHz</w:t>
      </w:r>
      <w:r>
        <w:rPr>
          <w:rFonts w:eastAsia="宋体"/>
          <w:lang w:val="en-US" w:eastAsia="zh-CN"/>
        </w:rPr>
        <w:t>”</w:t>
      </w:r>
      <w:r>
        <w:rPr>
          <w:rFonts w:eastAsia="宋体" w:hint="eastAsia"/>
          <w:lang w:val="en-US" w:eastAsia="zh-CN"/>
        </w:rPr>
        <w:t>, ZTE, Sanechips</w:t>
      </w:r>
    </w:p>
    <w:p w:rsidR="00494751" w:rsidRDefault="004937C7">
      <w:pPr>
        <w:widowControl w:val="0"/>
        <w:numPr>
          <w:ilvl w:val="0"/>
          <w:numId w:val="19"/>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R1-2007967, </w:t>
      </w:r>
      <w:r>
        <w:rPr>
          <w:rFonts w:eastAsia="宋体"/>
          <w:lang w:val="en-US" w:eastAsia="zh-CN"/>
        </w:rPr>
        <w:t>“Simulation results for NR above 52.6GHz”</w:t>
      </w:r>
      <w:r>
        <w:rPr>
          <w:rFonts w:eastAsia="宋体" w:hint="eastAsia"/>
          <w:lang w:val="en-US" w:eastAsia="zh-CN"/>
        </w:rPr>
        <w:t>, ZTE, Sanechips</w:t>
      </w:r>
    </w:p>
    <w:p w:rsidR="00494751" w:rsidRDefault="004937C7">
      <w:pPr>
        <w:pStyle w:val="Heading1"/>
        <w:spacing w:before="120" w:after="120"/>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rsidR="00494751" w:rsidRDefault="004937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w:t>
      </w:r>
      <w:r>
        <w:rPr>
          <w:rFonts w:ascii="Times New Roman" w:hAnsi="Times New Roman"/>
          <w:b/>
          <w:bCs w:val="0"/>
          <w:lang w:val="en-US" w:eastAsia="zh-CN"/>
        </w:rPr>
        <w:t>SLS assumptions</w:t>
      </w:r>
    </w:p>
    <w:tbl>
      <w:tblPr>
        <w:tblStyle w:val="TableGrid"/>
        <w:tblW w:w="7782" w:type="dxa"/>
        <w:jc w:val="center"/>
        <w:tblLayout w:type="fixed"/>
        <w:tblLook w:val="04A0" w:firstRow="1" w:lastRow="0" w:firstColumn="1" w:lastColumn="0" w:noHBand="0" w:noVBand="1"/>
      </w:tblPr>
      <w:tblGrid>
        <w:gridCol w:w="3255"/>
        <w:gridCol w:w="4527"/>
      </w:tblGrid>
      <w:tr w:rsidR="00494751">
        <w:trPr>
          <w:jc w:val="center"/>
        </w:trPr>
        <w:tc>
          <w:tcPr>
            <w:tcW w:w="3255" w:type="dxa"/>
            <w:shd w:val="clear" w:color="auto" w:fill="A5A5A5" w:themeFill="accent3"/>
            <w:vAlign w:val="center"/>
          </w:tcPr>
          <w:p w:rsidR="00494751" w:rsidRDefault="004937C7">
            <w:pPr>
              <w:pStyle w:val="TAH"/>
              <w:rPr>
                <w:rFonts w:ascii="Times New Roman" w:hAnsi="Times New Roman"/>
                <w:sz w:val="20"/>
                <w:lang w:val="en-US"/>
              </w:rPr>
            </w:pPr>
            <w:r>
              <w:rPr>
                <w:rFonts w:ascii="Times New Roman" w:hAnsi="Times New Roman"/>
                <w:sz w:val="20"/>
                <w:lang w:val="en-US"/>
              </w:rPr>
              <w:t>Parameters</w:t>
            </w:r>
          </w:p>
        </w:tc>
        <w:tc>
          <w:tcPr>
            <w:tcW w:w="4527" w:type="dxa"/>
            <w:shd w:val="clear" w:color="auto" w:fill="A5A5A5" w:themeFill="accent3"/>
            <w:vAlign w:val="center"/>
          </w:tcPr>
          <w:p w:rsidR="00494751" w:rsidRDefault="004937C7">
            <w:pPr>
              <w:pStyle w:val="TAH"/>
              <w:rPr>
                <w:rFonts w:ascii="Times New Roman" w:hAnsi="Times New Roman"/>
                <w:sz w:val="20"/>
                <w:lang w:val="en-US" w:eastAsia="zh-CN"/>
              </w:rPr>
            </w:pPr>
            <w:r>
              <w:rPr>
                <w:rFonts w:ascii="Times New Roman" w:hAnsi="Times New Roman"/>
                <w:sz w:val="20"/>
                <w:lang w:val="en-US" w:eastAsia="zh-CN"/>
              </w:rPr>
              <w:t>Values or Assumptions</w:t>
            </w:r>
          </w:p>
        </w:tc>
      </w:tr>
      <w:tr w:rsidR="00494751">
        <w:trPr>
          <w:jc w:val="center"/>
        </w:trPr>
        <w:tc>
          <w:tcPr>
            <w:tcW w:w="3255" w:type="dxa"/>
            <w:vAlign w:val="center"/>
          </w:tcPr>
          <w:p w:rsidR="00494751" w:rsidRDefault="004937C7">
            <w:pPr>
              <w:spacing w:after="0" w:line="260" w:lineRule="auto"/>
              <w:jc w:val="center"/>
              <w:rPr>
                <w:lang w:val="en-US"/>
              </w:rPr>
            </w:pPr>
            <w:r>
              <w:rPr>
                <w:lang w:val="en-US"/>
              </w:rPr>
              <w:t>Carrier Frequency</w:t>
            </w:r>
          </w:p>
        </w:tc>
        <w:tc>
          <w:tcPr>
            <w:tcW w:w="4527" w:type="dxa"/>
            <w:vAlign w:val="center"/>
          </w:tcPr>
          <w:p w:rsidR="00494751" w:rsidRDefault="004937C7">
            <w:pPr>
              <w:spacing w:after="0" w:line="260" w:lineRule="auto"/>
              <w:jc w:val="center"/>
              <w:rPr>
                <w:rFonts w:eastAsia="宋体"/>
                <w:lang w:val="en-US" w:eastAsia="zh-CN"/>
              </w:rPr>
            </w:pPr>
            <w:r>
              <w:rPr>
                <w:lang w:val="en-US" w:eastAsia="zh-CN"/>
              </w:rPr>
              <w:t>60</w:t>
            </w:r>
            <w:r>
              <w:rPr>
                <w:rFonts w:hint="eastAsia"/>
                <w:lang w:val="en-US" w:eastAsia="zh-CN"/>
              </w:rPr>
              <w:t xml:space="preserve"> </w:t>
            </w:r>
            <w:r>
              <w:rPr>
                <w:lang w:val="en-US" w:eastAsia="zh-CN"/>
              </w:rPr>
              <w:t>GHz</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Channel Bandwidth</w:t>
            </w:r>
          </w:p>
        </w:tc>
        <w:tc>
          <w:tcPr>
            <w:tcW w:w="4527" w:type="dxa"/>
            <w:vAlign w:val="center"/>
          </w:tcPr>
          <w:p w:rsidR="00494751" w:rsidRDefault="004937C7">
            <w:pPr>
              <w:spacing w:after="0" w:line="260" w:lineRule="auto"/>
              <w:jc w:val="center"/>
              <w:rPr>
                <w:lang w:val="en-US" w:eastAsia="zh-CN"/>
              </w:rPr>
            </w:pPr>
            <w:r>
              <w:rPr>
                <w:lang w:val="en-US" w:eastAsia="zh-CN"/>
              </w:rPr>
              <w:t>2</w:t>
            </w:r>
            <w:r>
              <w:rPr>
                <w:rFonts w:hint="eastAsia"/>
                <w:lang w:val="en-US" w:eastAsia="zh-CN"/>
              </w:rPr>
              <w:t xml:space="preserve"> </w:t>
            </w:r>
            <w:r>
              <w:rPr>
                <w:lang w:val="en-US" w:eastAsia="zh-CN"/>
              </w:rPr>
              <w:t>GHz</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Subcarrier spacing</w:t>
            </w:r>
          </w:p>
        </w:tc>
        <w:tc>
          <w:tcPr>
            <w:tcW w:w="4527" w:type="dxa"/>
            <w:vAlign w:val="center"/>
          </w:tcPr>
          <w:p w:rsidR="00494751" w:rsidRDefault="004937C7">
            <w:pPr>
              <w:spacing w:after="0" w:line="260" w:lineRule="auto"/>
              <w:jc w:val="center"/>
              <w:rPr>
                <w:lang w:val="en-US" w:eastAsia="zh-CN"/>
              </w:rPr>
            </w:pPr>
            <w:r>
              <w:rPr>
                <w:lang w:val="en-US" w:eastAsia="zh-CN"/>
              </w:rPr>
              <w:t>960</w:t>
            </w:r>
            <w:r>
              <w:rPr>
                <w:rFonts w:hint="eastAsia"/>
                <w:lang w:val="en-US" w:eastAsia="zh-CN"/>
              </w:rPr>
              <w:t xml:space="preserve"> </w:t>
            </w:r>
            <w:r>
              <w:rPr>
                <w:lang w:val="en-US" w:eastAsia="zh-CN"/>
              </w:rPr>
              <w:t>kHz</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Scenario</w:t>
            </w:r>
          </w:p>
        </w:tc>
        <w:tc>
          <w:tcPr>
            <w:tcW w:w="4527" w:type="dxa"/>
            <w:vAlign w:val="center"/>
          </w:tcPr>
          <w:p w:rsidR="00494751" w:rsidRDefault="004937C7">
            <w:pPr>
              <w:spacing w:after="0" w:line="260" w:lineRule="auto"/>
              <w:jc w:val="center"/>
              <w:rPr>
                <w:lang w:val="en-US" w:eastAsia="zh-CN"/>
              </w:rPr>
            </w:pPr>
            <w:r>
              <w:rPr>
                <w:lang w:val="en-US" w:eastAsia="zh-CN"/>
              </w:rPr>
              <w:t>Indoor A</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LBT schemes</w:t>
            </w:r>
          </w:p>
        </w:tc>
        <w:tc>
          <w:tcPr>
            <w:tcW w:w="4527" w:type="dxa"/>
            <w:vAlign w:val="center"/>
          </w:tcPr>
          <w:p w:rsidR="00494751" w:rsidRDefault="004937C7">
            <w:pPr>
              <w:spacing w:after="0" w:line="260" w:lineRule="auto"/>
              <w:jc w:val="center"/>
              <w:rPr>
                <w:lang w:val="en-US" w:eastAsia="zh-CN"/>
              </w:rPr>
            </w:pPr>
            <w:r>
              <w:rPr>
                <w:lang w:val="en-US" w:eastAsia="zh-CN"/>
              </w:rPr>
              <w:t>Omni</w:t>
            </w:r>
            <w:r>
              <w:rPr>
                <w:rFonts w:hint="eastAsia"/>
                <w:lang w:val="en-US" w:eastAsia="zh-CN"/>
              </w:rPr>
              <w:t>-</w:t>
            </w:r>
            <w:r>
              <w:rPr>
                <w:lang w:val="en-US" w:eastAsia="zh-CN"/>
              </w:rPr>
              <w:t>directional LBT</w:t>
            </w:r>
          </w:p>
          <w:p w:rsidR="00494751" w:rsidRDefault="004937C7">
            <w:pPr>
              <w:spacing w:after="0" w:line="260" w:lineRule="auto"/>
              <w:jc w:val="center"/>
              <w:rPr>
                <w:lang w:val="en-US" w:eastAsia="zh-CN"/>
              </w:rPr>
            </w:pPr>
            <w:r>
              <w:rPr>
                <w:lang w:val="en-US" w:eastAsia="zh-CN"/>
              </w:rPr>
              <w:t>Directional LBT</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CCA threshold</w:t>
            </w:r>
          </w:p>
        </w:tc>
        <w:tc>
          <w:tcPr>
            <w:tcW w:w="4527" w:type="dxa"/>
            <w:vAlign w:val="center"/>
          </w:tcPr>
          <w:p w:rsidR="00494751" w:rsidRDefault="004937C7">
            <w:pPr>
              <w:spacing w:after="0" w:line="260" w:lineRule="auto"/>
              <w:jc w:val="center"/>
              <w:rPr>
                <w:lang w:val="en-US" w:eastAsia="zh-CN"/>
              </w:rPr>
            </w:pPr>
            <w:r>
              <w:rPr>
                <w:lang w:val="en-US" w:eastAsia="zh-CN"/>
              </w:rPr>
              <w:t>-</w:t>
            </w:r>
            <w:r>
              <w:rPr>
                <w:rFonts w:hint="eastAsia"/>
                <w:lang w:val="en-US" w:eastAsia="zh-CN"/>
              </w:rPr>
              <w:t>8</w:t>
            </w:r>
            <w:r>
              <w:rPr>
                <w:lang w:val="en-US" w:eastAsia="zh-CN"/>
              </w:rPr>
              <w:t>2</w:t>
            </w:r>
            <w:r>
              <w:rPr>
                <w:rFonts w:hint="eastAsia"/>
                <w:lang w:val="en-US" w:eastAsia="zh-CN"/>
              </w:rPr>
              <w:t xml:space="preserve"> </w:t>
            </w:r>
            <w:r>
              <w:rPr>
                <w:lang w:val="en-US" w:eastAsia="zh-CN"/>
              </w:rPr>
              <w:t>dBm</w:t>
            </w:r>
          </w:p>
        </w:tc>
      </w:tr>
      <w:tr w:rsidR="00494751">
        <w:trPr>
          <w:jc w:val="center"/>
        </w:trPr>
        <w:tc>
          <w:tcPr>
            <w:tcW w:w="3255" w:type="dxa"/>
            <w:vAlign w:val="center"/>
          </w:tcPr>
          <w:p w:rsidR="00494751" w:rsidRDefault="004937C7">
            <w:pPr>
              <w:spacing w:after="0" w:line="260" w:lineRule="auto"/>
              <w:jc w:val="center"/>
              <w:rPr>
                <w:lang w:val="en-US"/>
              </w:rPr>
            </w:pPr>
            <w:r>
              <w:rPr>
                <w:lang w:val="en-US"/>
              </w:rPr>
              <w:t>Channel Model</w:t>
            </w:r>
          </w:p>
        </w:tc>
        <w:tc>
          <w:tcPr>
            <w:tcW w:w="4527" w:type="dxa"/>
            <w:vAlign w:val="center"/>
          </w:tcPr>
          <w:p w:rsidR="00494751" w:rsidRDefault="004937C7">
            <w:pPr>
              <w:keepNext/>
              <w:keepLines/>
              <w:overflowPunct w:val="0"/>
              <w:autoSpaceDE w:val="0"/>
              <w:autoSpaceDN w:val="0"/>
              <w:adjustRightInd w:val="0"/>
              <w:textAlignment w:val="baseline"/>
              <w:rPr>
                <w:bCs/>
                <w:color w:val="000000" w:themeColor="text1"/>
                <w:lang w:eastAsia="zh-CN"/>
              </w:rPr>
            </w:pPr>
            <w:r>
              <w:rPr>
                <w:rFonts w:hint="eastAsia"/>
                <w:bCs/>
                <w:color w:val="000000" w:themeColor="text1"/>
                <w:lang w:val="en-US" w:eastAsia="zh-CN"/>
              </w:rPr>
              <w:t>T</w:t>
            </w:r>
            <w:r>
              <w:rPr>
                <w:rFonts w:hint="eastAsia"/>
                <w:bCs/>
                <w:color w:val="000000" w:themeColor="text1"/>
                <w:lang w:eastAsia="zh-CN"/>
              </w:rPr>
              <w:t>he channel model for UE-to-UE links：InH open office: InH – office channel model with LOS probability for indoor - mixed office from TR38.901</w:t>
            </w:r>
          </w:p>
          <w:p w:rsidR="00494751" w:rsidRDefault="004937C7" w:rsidP="00D77BF6">
            <w:pPr>
              <w:spacing w:after="0" w:line="260" w:lineRule="auto"/>
              <w:jc w:val="both"/>
              <w:rPr>
                <w:lang w:val="en-US"/>
              </w:rPr>
            </w:pPr>
            <w:r>
              <w:rPr>
                <w:rFonts w:hint="eastAsia"/>
                <w:bCs/>
                <w:color w:val="000000" w:themeColor="text1"/>
                <w:lang w:val="en-US" w:eastAsia="zh-CN"/>
              </w:rPr>
              <w:t>T</w:t>
            </w:r>
            <w:r>
              <w:rPr>
                <w:rFonts w:hint="eastAsia"/>
                <w:bCs/>
                <w:color w:val="000000" w:themeColor="text1"/>
                <w:lang w:eastAsia="zh-CN"/>
              </w:rPr>
              <w:t>he channel model for gNB-to-UE and gNB-gNB links：InH open office: InH – office channel model with LOS probability for indoor - open office from TR38.901</w:t>
            </w:r>
          </w:p>
        </w:tc>
      </w:tr>
      <w:tr w:rsidR="00494751">
        <w:trPr>
          <w:jc w:val="center"/>
        </w:trPr>
        <w:tc>
          <w:tcPr>
            <w:tcW w:w="3255" w:type="dxa"/>
          </w:tcPr>
          <w:p w:rsidR="00494751" w:rsidRDefault="004937C7" w:rsidP="00D77BF6">
            <w:pPr>
              <w:snapToGrid w:val="0"/>
              <w:spacing w:after="0"/>
              <w:jc w:val="center"/>
              <w:rPr>
                <w:lang w:val="en-US"/>
              </w:rPr>
            </w:pPr>
            <w:r>
              <w:rPr>
                <w:lang w:val="en-US"/>
              </w:rPr>
              <w:t>Max. allowed BS Tx power</w:t>
            </w:r>
          </w:p>
        </w:tc>
        <w:tc>
          <w:tcPr>
            <w:tcW w:w="4527" w:type="dxa"/>
          </w:tcPr>
          <w:p w:rsidR="00494751" w:rsidRDefault="004937C7" w:rsidP="00D77BF6">
            <w:pPr>
              <w:snapToGrid w:val="0"/>
              <w:spacing w:after="0"/>
              <w:jc w:val="center"/>
              <w:rPr>
                <w:lang w:val="en-US" w:eastAsia="zh-CN"/>
              </w:rPr>
            </w:pPr>
            <w:r>
              <w:rPr>
                <w:lang w:val="en-US"/>
              </w:rPr>
              <w:t>40 dBm EIR</w:t>
            </w:r>
            <w:r>
              <w:rPr>
                <w:rFonts w:eastAsia="宋体" w:hint="eastAsia"/>
                <w:lang w:val="en-US" w:eastAsia="zh-CN"/>
              </w:rPr>
              <w:t>P</w:t>
            </w:r>
          </w:p>
        </w:tc>
      </w:tr>
      <w:tr w:rsidR="00494751">
        <w:trPr>
          <w:jc w:val="center"/>
        </w:trPr>
        <w:tc>
          <w:tcPr>
            <w:tcW w:w="3255" w:type="dxa"/>
          </w:tcPr>
          <w:p w:rsidR="00494751" w:rsidRDefault="004937C7" w:rsidP="00D77BF6">
            <w:pPr>
              <w:snapToGrid w:val="0"/>
              <w:spacing w:after="0"/>
              <w:jc w:val="center"/>
              <w:rPr>
                <w:lang w:val="en-US"/>
              </w:rPr>
            </w:pPr>
            <w:r>
              <w:rPr>
                <w:lang w:val="en-US" w:eastAsia="zh-CN"/>
              </w:rPr>
              <w:t>Max. allowed UE Tx Power</w:t>
            </w:r>
          </w:p>
        </w:tc>
        <w:tc>
          <w:tcPr>
            <w:tcW w:w="4527" w:type="dxa"/>
          </w:tcPr>
          <w:p w:rsidR="00494751" w:rsidRDefault="004937C7" w:rsidP="00D77BF6">
            <w:pPr>
              <w:snapToGrid w:val="0"/>
              <w:spacing w:after="0"/>
              <w:jc w:val="center"/>
              <w:rPr>
                <w:lang w:val="en-US"/>
              </w:rPr>
            </w:pPr>
            <w:r>
              <w:rPr>
                <w:lang w:val="en-US"/>
              </w:rPr>
              <w:t>25 dBm EIR</w:t>
            </w:r>
            <w:r>
              <w:rPr>
                <w:rFonts w:eastAsia="宋体" w:hint="eastAsia"/>
                <w:lang w:val="en-US" w:eastAsia="zh-CN"/>
              </w:rPr>
              <w:t>P</w:t>
            </w:r>
          </w:p>
        </w:tc>
      </w:tr>
      <w:tr w:rsidR="00494751">
        <w:trPr>
          <w:jc w:val="center"/>
        </w:trPr>
        <w:tc>
          <w:tcPr>
            <w:tcW w:w="3255" w:type="dxa"/>
            <w:vAlign w:val="center"/>
          </w:tcPr>
          <w:p w:rsidR="00494751" w:rsidRDefault="004937C7">
            <w:pPr>
              <w:spacing w:after="0" w:line="260" w:lineRule="auto"/>
              <w:jc w:val="center"/>
              <w:rPr>
                <w:lang w:val="en-US"/>
              </w:rPr>
            </w:pPr>
            <w:r>
              <w:rPr>
                <w:lang w:val="en-US"/>
              </w:rPr>
              <w:t>BS Antenna gain</w:t>
            </w:r>
          </w:p>
        </w:tc>
        <w:tc>
          <w:tcPr>
            <w:tcW w:w="4527" w:type="dxa"/>
            <w:vAlign w:val="center"/>
          </w:tcPr>
          <w:p w:rsidR="00494751" w:rsidRDefault="004937C7">
            <w:pPr>
              <w:spacing w:after="0" w:line="260" w:lineRule="auto"/>
              <w:jc w:val="center"/>
              <w:rPr>
                <w:lang w:val="en-US" w:eastAsia="zh-CN"/>
              </w:rPr>
            </w:pPr>
            <w:r>
              <w:rPr>
                <w:lang w:val="en-US"/>
              </w:rPr>
              <w:t>5</w:t>
            </w:r>
            <w:r>
              <w:rPr>
                <w:rFonts w:eastAsia="宋体" w:hint="eastAsia"/>
                <w:lang w:val="en-US" w:eastAsia="zh-CN"/>
              </w:rPr>
              <w:t xml:space="preserve"> </w:t>
            </w:r>
            <w:r>
              <w:rPr>
                <w:lang w:val="en-US" w:eastAsia="zh-CN"/>
              </w:rPr>
              <w:t>dBi</w:t>
            </w:r>
          </w:p>
        </w:tc>
      </w:tr>
      <w:tr w:rsidR="00494751">
        <w:trPr>
          <w:jc w:val="center"/>
        </w:trPr>
        <w:tc>
          <w:tcPr>
            <w:tcW w:w="3255" w:type="dxa"/>
            <w:vAlign w:val="center"/>
          </w:tcPr>
          <w:p w:rsidR="00494751" w:rsidRDefault="004937C7">
            <w:pPr>
              <w:spacing w:after="0" w:line="260" w:lineRule="auto"/>
              <w:jc w:val="center"/>
              <w:rPr>
                <w:lang w:val="en-US"/>
              </w:rPr>
            </w:pPr>
            <w:r>
              <w:rPr>
                <w:lang w:val="en-US"/>
              </w:rPr>
              <w:t>UE Antenna gain</w:t>
            </w:r>
          </w:p>
        </w:tc>
        <w:tc>
          <w:tcPr>
            <w:tcW w:w="4527" w:type="dxa"/>
            <w:vAlign w:val="center"/>
          </w:tcPr>
          <w:p w:rsidR="00494751" w:rsidRDefault="004937C7">
            <w:pPr>
              <w:spacing w:after="0" w:line="260" w:lineRule="auto"/>
              <w:jc w:val="center"/>
              <w:rPr>
                <w:lang w:val="en-US" w:eastAsia="zh-CN"/>
              </w:rPr>
            </w:pPr>
            <w:r>
              <w:rPr>
                <w:lang w:val="en-US" w:eastAsia="zh-CN"/>
              </w:rPr>
              <w:t>5</w:t>
            </w:r>
            <w:r>
              <w:rPr>
                <w:rFonts w:hint="eastAsia"/>
                <w:lang w:val="en-US" w:eastAsia="zh-CN"/>
              </w:rPr>
              <w:t xml:space="preserve"> </w:t>
            </w:r>
            <w:r>
              <w:rPr>
                <w:lang w:val="en-US" w:eastAsia="zh-CN"/>
              </w:rPr>
              <w:t>dBi</w:t>
            </w:r>
          </w:p>
        </w:tc>
      </w:tr>
      <w:tr w:rsidR="00494751">
        <w:trPr>
          <w:jc w:val="center"/>
        </w:trPr>
        <w:tc>
          <w:tcPr>
            <w:tcW w:w="3255" w:type="dxa"/>
            <w:vAlign w:val="center"/>
          </w:tcPr>
          <w:p w:rsidR="00494751" w:rsidRDefault="004937C7">
            <w:pPr>
              <w:spacing w:after="0" w:line="260" w:lineRule="auto"/>
              <w:jc w:val="center"/>
              <w:rPr>
                <w:lang w:val="en-US"/>
              </w:rPr>
            </w:pPr>
            <w:r>
              <w:rPr>
                <w:lang w:val="en-US"/>
              </w:rPr>
              <w:t>BS Noise Figure</w:t>
            </w:r>
          </w:p>
        </w:tc>
        <w:tc>
          <w:tcPr>
            <w:tcW w:w="4527" w:type="dxa"/>
            <w:vAlign w:val="center"/>
          </w:tcPr>
          <w:p w:rsidR="00494751" w:rsidRDefault="004937C7">
            <w:pPr>
              <w:spacing w:after="0" w:line="260" w:lineRule="auto"/>
              <w:jc w:val="center"/>
              <w:rPr>
                <w:lang w:val="en-US" w:eastAsia="zh-CN"/>
              </w:rPr>
            </w:pPr>
            <w:r>
              <w:rPr>
                <w:lang w:val="en-US"/>
              </w:rPr>
              <w:t>7</w:t>
            </w:r>
            <w:r>
              <w:rPr>
                <w:rFonts w:eastAsia="宋体" w:hint="eastAsia"/>
                <w:lang w:val="en-US" w:eastAsia="zh-CN"/>
              </w:rPr>
              <w:t xml:space="preserve"> </w:t>
            </w:r>
            <w:r>
              <w:rPr>
                <w:lang w:val="en-US" w:eastAsia="zh-CN"/>
              </w:rPr>
              <w:t>dB</w:t>
            </w:r>
          </w:p>
        </w:tc>
      </w:tr>
      <w:tr w:rsidR="00494751">
        <w:trPr>
          <w:jc w:val="center"/>
        </w:trPr>
        <w:tc>
          <w:tcPr>
            <w:tcW w:w="3255" w:type="dxa"/>
            <w:vAlign w:val="center"/>
          </w:tcPr>
          <w:p w:rsidR="00494751" w:rsidRDefault="004937C7">
            <w:pPr>
              <w:spacing w:after="0" w:line="260" w:lineRule="auto"/>
              <w:jc w:val="center"/>
              <w:rPr>
                <w:lang w:val="en-US"/>
              </w:rPr>
            </w:pPr>
            <w:r>
              <w:rPr>
                <w:lang w:val="en-US"/>
              </w:rPr>
              <w:t>UE Receiver Noise Figure</w:t>
            </w:r>
          </w:p>
        </w:tc>
        <w:tc>
          <w:tcPr>
            <w:tcW w:w="4527" w:type="dxa"/>
            <w:vAlign w:val="center"/>
          </w:tcPr>
          <w:p w:rsidR="00494751" w:rsidRDefault="004937C7">
            <w:pPr>
              <w:spacing w:after="0" w:line="260" w:lineRule="auto"/>
              <w:jc w:val="center"/>
              <w:rPr>
                <w:lang w:val="en-US" w:eastAsia="zh-CN"/>
              </w:rPr>
            </w:pPr>
            <w:r>
              <w:rPr>
                <w:lang w:val="en-US"/>
              </w:rPr>
              <w:t>1</w:t>
            </w:r>
            <w:r>
              <w:rPr>
                <w:lang w:val="en-US" w:eastAsia="zh-CN"/>
              </w:rPr>
              <w:t>0</w:t>
            </w:r>
            <w:r>
              <w:rPr>
                <w:rFonts w:hint="eastAsia"/>
                <w:lang w:val="en-US" w:eastAsia="zh-CN"/>
              </w:rPr>
              <w:t xml:space="preserve"> </w:t>
            </w:r>
            <w:r>
              <w:rPr>
                <w:lang w:val="en-US" w:eastAsia="zh-CN"/>
              </w:rPr>
              <w:t>dB</w:t>
            </w:r>
          </w:p>
        </w:tc>
      </w:tr>
      <w:tr w:rsidR="00494751">
        <w:trPr>
          <w:jc w:val="center"/>
        </w:trPr>
        <w:tc>
          <w:tcPr>
            <w:tcW w:w="3255" w:type="dxa"/>
            <w:vAlign w:val="center"/>
          </w:tcPr>
          <w:p w:rsidR="00494751" w:rsidRDefault="004937C7">
            <w:pPr>
              <w:spacing w:after="0" w:line="260" w:lineRule="auto"/>
              <w:jc w:val="center"/>
              <w:rPr>
                <w:lang w:val="en-US"/>
              </w:rPr>
            </w:pPr>
            <w:r>
              <w:rPr>
                <w:lang w:val="en-US"/>
              </w:rPr>
              <w:t>UE receiver</w:t>
            </w:r>
          </w:p>
        </w:tc>
        <w:tc>
          <w:tcPr>
            <w:tcW w:w="4527" w:type="dxa"/>
            <w:vAlign w:val="center"/>
          </w:tcPr>
          <w:p w:rsidR="00494751" w:rsidRDefault="004937C7">
            <w:pPr>
              <w:spacing w:after="0" w:line="260" w:lineRule="auto"/>
              <w:jc w:val="center"/>
              <w:rPr>
                <w:lang w:val="en-US"/>
              </w:rPr>
            </w:pPr>
            <w:r>
              <w:rPr>
                <w:lang w:val="en-US"/>
              </w:rPr>
              <w:t>MMSE-IRC</w:t>
            </w:r>
          </w:p>
        </w:tc>
      </w:tr>
      <w:tr w:rsidR="00494751">
        <w:trPr>
          <w:jc w:val="center"/>
        </w:trPr>
        <w:tc>
          <w:tcPr>
            <w:tcW w:w="3255" w:type="dxa"/>
            <w:vAlign w:val="center"/>
          </w:tcPr>
          <w:p w:rsidR="00494751" w:rsidRDefault="004937C7">
            <w:pPr>
              <w:spacing w:after="0" w:line="260" w:lineRule="auto"/>
              <w:jc w:val="center"/>
              <w:rPr>
                <w:lang w:val="en-US"/>
              </w:rPr>
            </w:pPr>
            <w:r>
              <w:rPr>
                <w:lang w:val="en-US"/>
              </w:rPr>
              <w:t>BS antenna Array configuration</w:t>
            </w:r>
          </w:p>
        </w:tc>
        <w:tc>
          <w:tcPr>
            <w:tcW w:w="4527" w:type="dxa"/>
            <w:vAlign w:val="center"/>
          </w:tcPr>
          <w:p w:rsidR="00494751" w:rsidRDefault="004937C7">
            <w:pPr>
              <w:spacing w:after="0" w:line="260" w:lineRule="auto"/>
              <w:jc w:val="center"/>
              <w:rPr>
                <w:lang w:val="en-US"/>
              </w:rPr>
            </w:pPr>
            <w:r>
              <w:rPr>
                <w:lang w:val="en-US"/>
              </w:rPr>
              <w:t>(M, N, P, Mg, Ng) = (</w:t>
            </w:r>
            <w:r>
              <w:rPr>
                <w:rFonts w:eastAsia="宋体" w:hint="eastAsia"/>
                <w:lang w:val="en-US" w:eastAsia="zh-CN"/>
              </w:rPr>
              <w:t>4</w:t>
            </w:r>
            <w:r>
              <w:rPr>
                <w:lang w:val="en-US"/>
              </w:rPr>
              <w:t xml:space="preserve">, </w:t>
            </w:r>
            <w:r>
              <w:rPr>
                <w:rFonts w:eastAsia="宋体" w:hint="eastAsia"/>
                <w:lang w:val="en-US" w:eastAsia="zh-CN"/>
              </w:rPr>
              <w:t>8</w:t>
            </w:r>
            <w:r>
              <w:rPr>
                <w:lang w:val="en-US"/>
              </w:rPr>
              <w:t>, 2, 1, 1), dH = dV = 0.5 λ</w:t>
            </w:r>
          </w:p>
        </w:tc>
      </w:tr>
      <w:tr w:rsidR="00494751">
        <w:trPr>
          <w:jc w:val="center"/>
        </w:trPr>
        <w:tc>
          <w:tcPr>
            <w:tcW w:w="3255" w:type="dxa"/>
            <w:vAlign w:val="center"/>
          </w:tcPr>
          <w:p w:rsidR="00494751" w:rsidRDefault="004937C7">
            <w:pPr>
              <w:spacing w:after="0" w:line="260" w:lineRule="auto"/>
              <w:jc w:val="center"/>
              <w:rPr>
                <w:lang w:val="en-US"/>
              </w:rPr>
            </w:pPr>
            <w:r>
              <w:rPr>
                <w:lang w:val="en-US"/>
              </w:rPr>
              <w:lastRenderedPageBreak/>
              <w:t>UE antenna Array configuration</w:t>
            </w:r>
          </w:p>
        </w:tc>
        <w:tc>
          <w:tcPr>
            <w:tcW w:w="4527" w:type="dxa"/>
            <w:vAlign w:val="center"/>
          </w:tcPr>
          <w:p w:rsidR="00494751" w:rsidRDefault="004937C7">
            <w:pPr>
              <w:spacing w:after="0" w:line="260" w:lineRule="auto"/>
              <w:jc w:val="center"/>
              <w:rPr>
                <w:lang w:val="en-US"/>
              </w:rPr>
            </w:pPr>
            <w:r>
              <w:rPr>
                <w:lang w:val="en-US"/>
              </w:rPr>
              <w:t>(M, N, P, Mg, Ng) = (</w:t>
            </w:r>
            <w:r>
              <w:rPr>
                <w:rFonts w:eastAsia="宋体" w:hint="eastAsia"/>
                <w:lang w:val="en-US" w:eastAsia="zh-CN"/>
              </w:rPr>
              <w:t>2</w:t>
            </w:r>
            <w:r>
              <w:rPr>
                <w:lang w:val="en-US"/>
              </w:rPr>
              <w:t xml:space="preserve">, </w:t>
            </w:r>
            <w:r>
              <w:rPr>
                <w:rFonts w:hint="eastAsia"/>
                <w:lang w:val="en-US" w:eastAsia="zh-CN"/>
              </w:rPr>
              <w:t>2</w:t>
            </w:r>
            <w:r>
              <w:rPr>
                <w:lang w:val="en-US"/>
              </w:rPr>
              <w:t xml:space="preserve">, 2, 1, </w:t>
            </w:r>
            <w:r>
              <w:rPr>
                <w:rFonts w:eastAsia="宋体" w:hint="eastAsia"/>
                <w:lang w:val="en-US" w:eastAsia="zh-CN"/>
              </w:rPr>
              <w:t>2</w:t>
            </w:r>
            <w:r>
              <w:rPr>
                <w:lang w:val="en-US"/>
              </w:rPr>
              <w:t>), dH = dV = 0.5 λ</w:t>
            </w:r>
          </w:p>
        </w:tc>
      </w:tr>
      <w:tr w:rsidR="00494751">
        <w:trPr>
          <w:jc w:val="center"/>
        </w:trPr>
        <w:tc>
          <w:tcPr>
            <w:tcW w:w="3255" w:type="dxa"/>
            <w:vAlign w:val="center"/>
          </w:tcPr>
          <w:p w:rsidR="00494751" w:rsidRDefault="004937C7">
            <w:pPr>
              <w:spacing w:after="0" w:line="260" w:lineRule="auto"/>
              <w:jc w:val="center"/>
              <w:rPr>
                <w:lang w:val="en-US" w:eastAsia="zh-CN"/>
              </w:rPr>
            </w:pPr>
            <w:r>
              <w:rPr>
                <w:lang w:val="en-US" w:eastAsia="zh-CN"/>
              </w:rPr>
              <w:t>Traffic model</w:t>
            </w:r>
          </w:p>
        </w:tc>
        <w:tc>
          <w:tcPr>
            <w:tcW w:w="4527" w:type="dxa"/>
            <w:vAlign w:val="center"/>
          </w:tcPr>
          <w:p w:rsidR="00494751" w:rsidRDefault="004937C7">
            <w:pPr>
              <w:spacing w:after="0" w:line="260" w:lineRule="auto"/>
              <w:jc w:val="center"/>
              <w:rPr>
                <w:lang w:val="en-US"/>
              </w:rPr>
            </w:pPr>
            <w:r>
              <w:rPr>
                <w:lang w:val="en-US" w:eastAsia="zh-CN"/>
              </w:rPr>
              <w:t>FTP Model 3 (27Mbyte file)</w:t>
            </w:r>
          </w:p>
        </w:tc>
      </w:tr>
    </w:tbl>
    <w:p w:rsidR="00494751" w:rsidRDefault="00494751">
      <w:pPr>
        <w:rPr>
          <w:lang w:val="en-US" w:eastAsia="zh-CN"/>
        </w:rPr>
      </w:pPr>
    </w:p>
    <w:sectPr w:rsidR="00494751">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040" w:rsidRDefault="005C4040">
      <w:pPr>
        <w:spacing w:after="0" w:line="240" w:lineRule="auto"/>
      </w:pPr>
      <w:r>
        <w:separator/>
      </w:r>
    </w:p>
  </w:endnote>
  <w:endnote w:type="continuationSeparator" w:id="0">
    <w:p w:rsidR="005C4040" w:rsidRDefault="005C4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751" w:rsidRDefault="004937C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494751" w:rsidRDefault="004947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751" w:rsidRDefault="004937C7">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AF3170">
      <w:rPr>
        <w:rStyle w:val="PageNumber"/>
        <w:rFonts w:ascii="Times New Roman" w:hAnsi="Times New Roman"/>
        <w:b w:val="0"/>
        <w:i w:val="0"/>
        <w:noProof/>
      </w:rPr>
      <w:t>1</w:t>
    </w:r>
    <w:r>
      <w:rPr>
        <w:rFonts w:ascii="Times New Roman" w:hAnsi="Times New Roman"/>
        <w:b w:val="0"/>
        <w:i w:val="0"/>
      </w:rPr>
      <w:fldChar w:fldCharType="end"/>
    </w:r>
  </w:p>
  <w:p w:rsidR="00494751" w:rsidRDefault="0049475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040" w:rsidRDefault="005C4040">
      <w:pPr>
        <w:spacing w:after="0" w:line="240" w:lineRule="auto"/>
      </w:pPr>
      <w:r>
        <w:separator/>
      </w:r>
    </w:p>
  </w:footnote>
  <w:footnote w:type="continuationSeparator" w:id="0">
    <w:p w:rsidR="005C4040" w:rsidRDefault="005C4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0DCA07"/>
    <w:multiLevelType w:val="singleLevel"/>
    <w:tmpl w:val="A30DCA07"/>
    <w:lvl w:ilvl="0">
      <w:start w:val="1"/>
      <w:numFmt w:val="bullet"/>
      <w:lvlText w:val=""/>
      <w:lvlJc w:val="left"/>
      <w:pPr>
        <w:ind w:left="420" w:hanging="420"/>
      </w:pPr>
      <w:rPr>
        <w:rFonts w:ascii="Wingdings" w:hAnsi="Wingdings" w:hint="default"/>
      </w:rPr>
    </w:lvl>
  </w:abstractNum>
  <w:abstractNum w:abstractNumId="1" w15:restartNumberingAfterBreak="0">
    <w:nsid w:val="B06A509F"/>
    <w:multiLevelType w:val="multilevel"/>
    <w:tmpl w:val="B06A509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5DD12EF"/>
    <w:multiLevelType w:val="multilevel"/>
    <w:tmpl w:val="05DD12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21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1876B958"/>
    <w:multiLevelType w:val="singleLevel"/>
    <w:tmpl w:val="1876B958"/>
    <w:lvl w:ilvl="0">
      <w:start w:val="1"/>
      <w:numFmt w:val="bullet"/>
      <w:lvlText w:val=""/>
      <w:lvlJc w:val="left"/>
      <w:pPr>
        <w:ind w:left="420" w:hanging="420"/>
      </w:pPr>
      <w:rPr>
        <w:rFonts w:ascii="Wingdings" w:hAnsi="Wingdings" w:hint="default"/>
      </w:rPr>
    </w:lvl>
  </w:abstractNum>
  <w:abstractNum w:abstractNumId="8"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C0671"/>
    <w:multiLevelType w:val="multilevel"/>
    <w:tmpl w:val="397C0671"/>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2D05FB"/>
    <w:multiLevelType w:val="singleLevel"/>
    <w:tmpl w:val="402D05FB"/>
    <w:lvl w:ilvl="0">
      <w:start w:val="1"/>
      <w:numFmt w:val="bullet"/>
      <w:lvlText w:val=""/>
      <w:lvlJc w:val="left"/>
      <w:pPr>
        <w:ind w:left="42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15:restartNumberingAfterBreak="0">
    <w:nsid w:val="703E58FE"/>
    <w:multiLevelType w:val="multilevel"/>
    <w:tmpl w:val="AC4EDEF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16"/>
  </w:num>
  <w:num w:numId="4">
    <w:abstractNumId w:val="19"/>
  </w:num>
  <w:num w:numId="5">
    <w:abstractNumId w:val="8"/>
  </w:num>
  <w:num w:numId="6">
    <w:abstractNumId w:val="15"/>
  </w:num>
  <w:num w:numId="7">
    <w:abstractNumId w:val="11"/>
  </w:num>
  <w:num w:numId="8">
    <w:abstractNumId w:val="3"/>
  </w:num>
  <w:num w:numId="9">
    <w:abstractNumId w:val="17"/>
  </w:num>
  <w:num w:numId="10">
    <w:abstractNumId w:val="14"/>
  </w:num>
  <w:num w:numId="11">
    <w:abstractNumId w:val="9"/>
  </w:num>
  <w:num w:numId="12">
    <w:abstractNumId w:val="5"/>
  </w:num>
  <w:num w:numId="13">
    <w:abstractNumId w:val="10"/>
  </w:num>
  <w:num w:numId="14">
    <w:abstractNumId w:val="12"/>
  </w:num>
  <w:num w:numId="15">
    <w:abstractNumId w:val="1"/>
  </w:num>
  <w:num w:numId="16">
    <w:abstractNumId w:val="4"/>
  </w:num>
  <w:num w:numId="17">
    <w:abstractNumId w:val="7"/>
  </w:num>
  <w:num w:numId="18">
    <w:abstractNumId w:val="0"/>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27E37"/>
    <w:rsid w:val="01BA5F39"/>
    <w:rsid w:val="01C326DA"/>
    <w:rsid w:val="01CD6175"/>
    <w:rsid w:val="01CF6472"/>
    <w:rsid w:val="01D2660E"/>
    <w:rsid w:val="01D7237F"/>
    <w:rsid w:val="01E90EAA"/>
    <w:rsid w:val="01E9562A"/>
    <w:rsid w:val="01F0730D"/>
    <w:rsid w:val="01F228B3"/>
    <w:rsid w:val="01F24BE3"/>
    <w:rsid w:val="01F37778"/>
    <w:rsid w:val="01FC6829"/>
    <w:rsid w:val="02052204"/>
    <w:rsid w:val="0218641B"/>
    <w:rsid w:val="023D68E9"/>
    <w:rsid w:val="023F5E1A"/>
    <w:rsid w:val="024D11F3"/>
    <w:rsid w:val="0252421C"/>
    <w:rsid w:val="025B6E07"/>
    <w:rsid w:val="02622CBC"/>
    <w:rsid w:val="027A1CC7"/>
    <w:rsid w:val="02821AE1"/>
    <w:rsid w:val="0282269B"/>
    <w:rsid w:val="02837FA5"/>
    <w:rsid w:val="028438E6"/>
    <w:rsid w:val="028F7F84"/>
    <w:rsid w:val="02922E5A"/>
    <w:rsid w:val="029415F5"/>
    <w:rsid w:val="02A078F6"/>
    <w:rsid w:val="02A738FD"/>
    <w:rsid w:val="02AC3B9C"/>
    <w:rsid w:val="02BC1004"/>
    <w:rsid w:val="02BE0B78"/>
    <w:rsid w:val="02C20A5F"/>
    <w:rsid w:val="02D8254A"/>
    <w:rsid w:val="02F15F40"/>
    <w:rsid w:val="030C5E59"/>
    <w:rsid w:val="031041CB"/>
    <w:rsid w:val="03127134"/>
    <w:rsid w:val="03131BEB"/>
    <w:rsid w:val="03171B44"/>
    <w:rsid w:val="03180265"/>
    <w:rsid w:val="031923E9"/>
    <w:rsid w:val="03244425"/>
    <w:rsid w:val="03335414"/>
    <w:rsid w:val="03375B0E"/>
    <w:rsid w:val="03380EE2"/>
    <w:rsid w:val="034800C3"/>
    <w:rsid w:val="0354194A"/>
    <w:rsid w:val="03763069"/>
    <w:rsid w:val="037D0817"/>
    <w:rsid w:val="03867098"/>
    <w:rsid w:val="03876C33"/>
    <w:rsid w:val="03901647"/>
    <w:rsid w:val="03A0019E"/>
    <w:rsid w:val="03A80B76"/>
    <w:rsid w:val="03AC7855"/>
    <w:rsid w:val="03B005F4"/>
    <w:rsid w:val="03B76952"/>
    <w:rsid w:val="03CD0124"/>
    <w:rsid w:val="03CF2B82"/>
    <w:rsid w:val="03E0522E"/>
    <w:rsid w:val="03F65997"/>
    <w:rsid w:val="03F719F0"/>
    <w:rsid w:val="03FA68A6"/>
    <w:rsid w:val="03FD5E07"/>
    <w:rsid w:val="04066AB8"/>
    <w:rsid w:val="040D33BF"/>
    <w:rsid w:val="040F1FD0"/>
    <w:rsid w:val="041162ED"/>
    <w:rsid w:val="041562A8"/>
    <w:rsid w:val="041A6AB4"/>
    <w:rsid w:val="041D3FE2"/>
    <w:rsid w:val="041E7CAF"/>
    <w:rsid w:val="04210D8C"/>
    <w:rsid w:val="04364A60"/>
    <w:rsid w:val="043815C4"/>
    <w:rsid w:val="043B501A"/>
    <w:rsid w:val="043D7B7C"/>
    <w:rsid w:val="04586E3A"/>
    <w:rsid w:val="045D7B5C"/>
    <w:rsid w:val="046861DC"/>
    <w:rsid w:val="04735957"/>
    <w:rsid w:val="04826009"/>
    <w:rsid w:val="048869A8"/>
    <w:rsid w:val="048F68A9"/>
    <w:rsid w:val="04B14C72"/>
    <w:rsid w:val="04C06E5C"/>
    <w:rsid w:val="04D12DFB"/>
    <w:rsid w:val="04E12B8C"/>
    <w:rsid w:val="04E2519D"/>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F074A4"/>
    <w:rsid w:val="05F12585"/>
    <w:rsid w:val="05FB2CD3"/>
    <w:rsid w:val="0606721F"/>
    <w:rsid w:val="060D5AA5"/>
    <w:rsid w:val="061A06CE"/>
    <w:rsid w:val="06242D8C"/>
    <w:rsid w:val="062558E0"/>
    <w:rsid w:val="06261750"/>
    <w:rsid w:val="06276042"/>
    <w:rsid w:val="06340A05"/>
    <w:rsid w:val="063B1FB2"/>
    <w:rsid w:val="063D7168"/>
    <w:rsid w:val="06485014"/>
    <w:rsid w:val="06496A78"/>
    <w:rsid w:val="066F17E0"/>
    <w:rsid w:val="067A3DAD"/>
    <w:rsid w:val="0686332F"/>
    <w:rsid w:val="069E22FD"/>
    <w:rsid w:val="06A43D59"/>
    <w:rsid w:val="06A54B41"/>
    <w:rsid w:val="06C074EB"/>
    <w:rsid w:val="06C1240E"/>
    <w:rsid w:val="06C46BF4"/>
    <w:rsid w:val="06CB725E"/>
    <w:rsid w:val="06D1709D"/>
    <w:rsid w:val="06E1290F"/>
    <w:rsid w:val="06E8278C"/>
    <w:rsid w:val="06F76AE6"/>
    <w:rsid w:val="07015EFA"/>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F476D"/>
    <w:rsid w:val="07826DCD"/>
    <w:rsid w:val="07871DCC"/>
    <w:rsid w:val="078B07F9"/>
    <w:rsid w:val="078E4F4B"/>
    <w:rsid w:val="07944B29"/>
    <w:rsid w:val="079F3045"/>
    <w:rsid w:val="07AC7E7C"/>
    <w:rsid w:val="07B34910"/>
    <w:rsid w:val="07BB7897"/>
    <w:rsid w:val="07C76AEB"/>
    <w:rsid w:val="07CE47C1"/>
    <w:rsid w:val="07D62B24"/>
    <w:rsid w:val="07EA26C1"/>
    <w:rsid w:val="08004C09"/>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86E3F"/>
    <w:rsid w:val="08AE795A"/>
    <w:rsid w:val="08B04E0E"/>
    <w:rsid w:val="08B20EA3"/>
    <w:rsid w:val="08B574EC"/>
    <w:rsid w:val="08B57F92"/>
    <w:rsid w:val="08C26721"/>
    <w:rsid w:val="08C447CA"/>
    <w:rsid w:val="08CE2E9E"/>
    <w:rsid w:val="08E279FE"/>
    <w:rsid w:val="08E539A8"/>
    <w:rsid w:val="08E64959"/>
    <w:rsid w:val="08FF3E43"/>
    <w:rsid w:val="090F4677"/>
    <w:rsid w:val="0910120A"/>
    <w:rsid w:val="09134CB1"/>
    <w:rsid w:val="09275714"/>
    <w:rsid w:val="092F78BB"/>
    <w:rsid w:val="093120ED"/>
    <w:rsid w:val="094077F0"/>
    <w:rsid w:val="095331D8"/>
    <w:rsid w:val="09552E33"/>
    <w:rsid w:val="09566CA4"/>
    <w:rsid w:val="095C0D34"/>
    <w:rsid w:val="09600D2E"/>
    <w:rsid w:val="09736BC3"/>
    <w:rsid w:val="0974223C"/>
    <w:rsid w:val="0974287E"/>
    <w:rsid w:val="09832AAA"/>
    <w:rsid w:val="09876497"/>
    <w:rsid w:val="098B7640"/>
    <w:rsid w:val="098F1481"/>
    <w:rsid w:val="09904C1A"/>
    <w:rsid w:val="099C0E26"/>
    <w:rsid w:val="099F5C87"/>
    <w:rsid w:val="09A41AFC"/>
    <w:rsid w:val="09A918FF"/>
    <w:rsid w:val="09AB4269"/>
    <w:rsid w:val="09AF29E2"/>
    <w:rsid w:val="09B17961"/>
    <w:rsid w:val="09B96E21"/>
    <w:rsid w:val="09C762CC"/>
    <w:rsid w:val="09DF01A9"/>
    <w:rsid w:val="09DF4DE6"/>
    <w:rsid w:val="09F1683F"/>
    <w:rsid w:val="09F3224C"/>
    <w:rsid w:val="09F5356A"/>
    <w:rsid w:val="09F756A5"/>
    <w:rsid w:val="09FB5032"/>
    <w:rsid w:val="0A007FB9"/>
    <w:rsid w:val="0A0248E2"/>
    <w:rsid w:val="0A197D7E"/>
    <w:rsid w:val="0A1A5B76"/>
    <w:rsid w:val="0A260017"/>
    <w:rsid w:val="0A350A2E"/>
    <w:rsid w:val="0A44449B"/>
    <w:rsid w:val="0A4970AB"/>
    <w:rsid w:val="0A613380"/>
    <w:rsid w:val="0A68565C"/>
    <w:rsid w:val="0A71326B"/>
    <w:rsid w:val="0A7269CD"/>
    <w:rsid w:val="0A750E8A"/>
    <w:rsid w:val="0A7C07DD"/>
    <w:rsid w:val="0A7C4051"/>
    <w:rsid w:val="0A7D67BF"/>
    <w:rsid w:val="0A7F54FD"/>
    <w:rsid w:val="0A860C80"/>
    <w:rsid w:val="0A8D2821"/>
    <w:rsid w:val="0AAC726A"/>
    <w:rsid w:val="0ABB44F9"/>
    <w:rsid w:val="0ABF5EAE"/>
    <w:rsid w:val="0AC139E2"/>
    <w:rsid w:val="0AC65B07"/>
    <w:rsid w:val="0AC716D4"/>
    <w:rsid w:val="0AC737A4"/>
    <w:rsid w:val="0ADD1875"/>
    <w:rsid w:val="0ADD2D69"/>
    <w:rsid w:val="0ADF132F"/>
    <w:rsid w:val="0AE21A7A"/>
    <w:rsid w:val="0AE72DC5"/>
    <w:rsid w:val="0AEA5FE2"/>
    <w:rsid w:val="0AF456BE"/>
    <w:rsid w:val="0AFF24CE"/>
    <w:rsid w:val="0B1543BB"/>
    <w:rsid w:val="0B155EC3"/>
    <w:rsid w:val="0B215E24"/>
    <w:rsid w:val="0B257548"/>
    <w:rsid w:val="0B2920B8"/>
    <w:rsid w:val="0B420FE1"/>
    <w:rsid w:val="0B4C3E35"/>
    <w:rsid w:val="0B4C64FA"/>
    <w:rsid w:val="0B4E0560"/>
    <w:rsid w:val="0B5431C9"/>
    <w:rsid w:val="0B577EF7"/>
    <w:rsid w:val="0B5C20A7"/>
    <w:rsid w:val="0B5C58E0"/>
    <w:rsid w:val="0B6426D9"/>
    <w:rsid w:val="0B66128E"/>
    <w:rsid w:val="0B68584B"/>
    <w:rsid w:val="0B6913F3"/>
    <w:rsid w:val="0B6C3AAF"/>
    <w:rsid w:val="0B7C2A1B"/>
    <w:rsid w:val="0B7C3C97"/>
    <w:rsid w:val="0B851AE2"/>
    <w:rsid w:val="0B8676A2"/>
    <w:rsid w:val="0B954FA0"/>
    <w:rsid w:val="0B995225"/>
    <w:rsid w:val="0BA077C8"/>
    <w:rsid w:val="0BB55819"/>
    <w:rsid w:val="0BC43EFA"/>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E3321"/>
    <w:rsid w:val="0C0F7E19"/>
    <w:rsid w:val="0C1C3753"/>
    <w:rsid w:val="0C1D44CD"/>
    <w:rsid w:val="0C2529EC"/>
    <w:rsid w:val="0C30263B"/>
    <w:rsid w:val="0C3A46A5"/>
    <w:rsid w:val="0C3E4347"/>
    <w:rsid w:val="0C473253"/>
    <w:rsid w:val="0C4F022E"/>
    <w:rsid w:val="0C5170A3"/>
    <w:rsid w:val="0C630475"/>
    <w:rsid w:val="0C676B51"/>
    <w:rsid w:val="0C6D1617"/>
    <w:rsid w:val="0C753611"/>
    <w:rsid w:val="0C77216D"/>
    <w:rsid w:val="0C7E28D9"/>
    <w:rsid w:val="0C8328A9"/>
    <w:rsid w:val="0C8F5033"/>
    <w:rsid w:val="0C923DBE"/>
    <w:rsid w:val="0C92626A"/>
    <w:rsid w:val="0C992FB8"/>
    <w:rsid w:val="0CA06B2F"/>
    <w:rsid w:val="0CA5215C"/>
    <w:rsid w:val="0CAA56ED"/>
    <w:rsid w:val="0CAC621A"/>
    <w:rsid w:val="0CB1691B"/>
    <w:rsid w:val="0CB23D75"/>
    <w:rsid w:val="0CB527B1"/>
    <w:rsid w:val="0CB52D59"/>
    <w:rsid w:val="0CCF6077"/>
    <w:rsid w:val="0CE01ED0"/>
    <w:rsid w:val="0CE057A4"/>
    <w:rsid w:val="0CE47277"/>
    <w:rsid w:val="0CEA4514"/>
    <w:rsid w:val="0CED5790"/>
    <w:rsid w:val="0CF825CB"/>
    <w:rsid w:val="0D02400E"/>
    <w:rsid w:val="0D077BD4"/>
    <w:rsid w:val="0D0C6566"/>
    <w:rsid w:val="0D120265"/>
    <w:rsid w:val="0D1536F1"/>
    <w:rsid w:val="0D1E5FB2"/>
    <w:rsid w:val="0D204BC7"/>
    <w:rsid w:val="0D232014"/>
    <w:rsid w:val="0D2532E0"/>
    <w:rsid w:val="0D276A0D"/>
    <w:rsid w:val="0D2B3E5D"/>
    <w:rsid w:val="0D35359F"/>
    <w:rsid w:val="0D480593"/>
    <w:rsid w:val="0D4C56D2"/>
    <w:rsid w:val="0D547E1E"/>
    <w:rsid w:val="0D727EA8"/>
    <w:rsid w:val="0D7423B9"/>
    <w:rsid w:val="0D834A5C"/>
    <w:rsid w:val="0D893EB2"/>
    <w:rsid w:val="0D935D65"/>
    <w:rsid w:val="0D9C16DD"/>
    <w:rsid w:val="0DAA6CE1"/>
    <w:rsid w:val="0DB93391"/>
    <w:rsid w:val="0DBA5417"/>
    <w:rsid w:val="0DBF562F"/>
    <w:rsid w:val="0DC93404"/>
    <w:rsid w:val="0DD400A1"/>
    <w:rsid w:val="0DD520DE"/>
    <w:rsid w:val="0DDA114E"/>
    <w:rsid w:val="0DDC03D6"/>
    <w:rsid w:val="0DDE14D8"/>
    <w:rsid w:val="0DE53E77"/>
    <w:rsid w:val="0DE748A8"/>
    <w:rsid w:val="0DFA76E6"/>
    <w:rsid w:val="0DFC649B"/>
    <w:rsid w:val="0E052000"/>
    <w:rsid w:val="0E075E25"/>
    <w:rsid w:val="0E180BB7"/>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F0CBF"/>
    <w:rsid w:val="0E646ED9"/>
    <w:rsid w:val="0E68606C"/>
    <w:rsid w:val="0E8271E6"/>
    <w:rsid w:val="0E887123"/>
    <w:rsid w:val="0E8B4D0B"/>
    <w:rsid w:val="0EA621BE"/>
    <w:rsid w:val="0EAB594D"/>
    <w:rsid w:val="0EBD6AC8"/>
    <w:rsid w:val="0EC854C4"/>
    <w:rsid w:val="0ECC4D2D"/>
    <w:rsid w:val="0ED27F80"/>
    <w:rsid w:val="0ED95C8A"/>
    <w:rsid w:val="0EE36211"/>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6023D9"/>
    <w:rsid w:val="0F8D0B4E"/>
    <w:rsid w:val="0F8F102F"/>
    <w:rsid w:val="0FA470F8"/>
    <w:rsid w:val="0FB00FA4"/>
    <w:rsid w:val="0FB5088D"/>
    <w:rsid w:val="0FB80767"/>
    <w:rsid w:val="0FB97767"/>
    <w:rsid w:val="0FBF3418"/>
    <w:rsid w:val="0FC46A56"/>
    <w:rsid w:val="0FC51919"/>
    <w:rsid w:val="0FC57BB8"/>
    <w:rsid w:val="0FD6188A"/>
    <w:rsid w:val="0FE06793"/>
    <w:rsid w:val="0FEC5D00"/>
    <w:rsid w:val="0FF575F8"/>
    <w:rsid w:val="0FF65FDC"/>
    <w:rsid w:val="10000831"/>
    <w:rsid w:val="100579D5"/>
    <w:rsid w:val="10063E75"/>
    <w:rsid w:val="100C7211"/>
    <w:rsid w:val="100E163A"/>
    <w:rsid w:val="10137919"/>
    <w:rsid w:val="10197368"/>
    <w:rsid w:val="101F242C"/>
    <w:rsid w:val="1026756C"/>
    <w:rsid w:val="104E4B56"/>
    <w:rsid w:val="10532774"/>
    <w:rsid w:val="1054045C"/>
    <w:rsid w:val="10567C68"/>
    <w:rsid w:val="105A58C1"/>
    <w:rsid w:val="10706296"/>
    <w:rsid w:val="10797EF4"/>
    <w:rsid w:val="107D3C0E"/>
    <w:rsid w:val="1083031A"/>
    <w:rsid w:val="108778E8"/>
    <w:rsid w:val="10941E11"/>
    <w:rsid w:val="109821F7"/>
    <w:rsid w:val="10A15189"/>
    <w:rsid w:val="10A76A92"/>
    <w:rsid w:val="10AF75A3"/>
    <w:rsid w:val="10B47A73"/>
    <w:rsid w:val="10B81757"/>
    <w:rsid w:val="10BF2E44"/>
    <w:rsid w:val="10D00203"/>
    <w:rsid w:val="10D32F67"/>
    <w:rsid w:val="10D54519"/>
    <w:rsid w:val="10DC0B31"/>
    <w:rsid w:val="10E6700D"/>
    <w:rsid w:val="10ED7F30"/>
    <w:rsid w:val="10F87453"/>
    <w:rsid w:val="10FA2820"/>
    <w:rsid w:val="10FF23D1"/>
    <w:rsid w:val="10FF2F5F"/>
    <w:rsid w:val="11040356"/>
    <w:rsid w:val="11083C1F"/>
    <w:rsid w:val="11163D3E"/>
    <w:rsid w:val="11221C8A"/>
    <w:rsid w:val="11272C1C"/>
    <w:rsid w:val="112F01F3"/>
    <w:rsid w:val="11362E5F"/>
    <w:rsid w:val="11386EDC"/>
    <w:rsid w:val="113F6847"/>
    <w:rsid w:val="11477748"/>
    <w:rsid w:val="11573160"/>
    <w:rsid w:val="116327EE"/>
    <w:rsid w:val="116739ED"/>
    <w:rsid w:val="116B3040"/>
    <w:rsid w:val="119734D3"/>
    <w:rsid w:val="119A1E99"/>
    <w:rsid w:val="11A3386B"/>
    <w:rsid w:val="11A944AF"/>
    <w:rsid w:val="11AF7FCE"/>
    <w:rsid w:val="11BB4CD7"/>
    <w:rsid w:val="11C23717"/>
    <w:rsid w:val="11C43249"/>
    <w:rsid w:val="11C60A1A"/>
    <w:rsid w:val="11DA3226"/>
    <w:rsid w:val="11DA5C4D"/>
    <w:rsid w:val="11DA7C8F"/>
    <w:rsid w:val="11DD2374"/>
    <w:rsid w:val="11E21C10"/>
    <w:rsid w:val="11E84264"/>
    <w:rsid w:val="11EA5AEE"/>
    <w:rsid w:val="11EC3740"/>
    <w:rsid w:val="11EC6DCB"/>
    <w:rsid w:val="12047298"/>
    <w:rsid w:val="121220D8"/>
    <w:rsid w:val="1215211F"/>
    <w:rsid w:val="12172F68"/>
    <w:rsid w:val="121B6C13"/>
    <w:rsid w:val="12203257"/>
    <w:rsid w:val="122320E5"/>
    <w:rsid w:val="122A48EB"/>
    <w:rsid w:val="12337389"/>
    <w:rsid w:val="12371DF9"/>
    <w:rsid w:val="124D1B03"/>
    <w:rsid w:val="12504C31"/>
    <w:rsid w:val="12516E7E"/>
    <w:rsid w:val="12532386"/>
    <w:rsid w:val="125B1B6E"/>
    <w:rsid w:val="1265749A"/>
    <w:rsid w:val="1267663B"/>
    <w:rsid w:val="1277751E"/>
    <w:rsid w:val="128F1708"/>
    <w:rsid w:val="12926FCB"/>
    <w:rsid w:val="12982522"/>
    <w:rsid w:val="12B11086"/>
    <w:rsid w:val="12B17DCA"/>
    <w:rsid w:val="12B43182"/>
    <w:rsid w:val="12B46A84"/>
    <w:rsid w:val="12BA0258"/>
    <w:rsid w:val="12C17EF2"/>
    <w:rsid w:val="12C625B4"/>
    <w:rsid w:val="12CF0C55"/>
    <w:rsid w:val="12D21625"/>
    <w:rsid w:val="12D35644"/>
    <w:rsid w:val="12D92295"/>
    <w:rsid w:val="12E34078"/>
    <w:rsid w:val="12EF5516"/>
    <w:rsid w:val="12F43338"/>
    <w:rsid w:val="12FE32F7"/>
    <w:rsid w:val="13002861"/>
    <w:rsid w:val="130B1B1A"/>
    <w:rsid w:val="13105018"/>
    <w:rsid w:val="131C5CF6"/>
    <w:rsid w:val="13227EB1"/>
    <w:rsid w:val="132707AB"/>
    <w:rsid w:val="13400045"/>
    <w:rsid w:val="134C417A"/>
    <w:rsid w:val="1355648A"/>
    <w:rsid w:val="136F49A1"/>
    <w:rsid w:val="13783516"/>
    <w:rsid w:val="137C2658"/>
    <w:rsid w:val="137E142A"/>
    <w:rsid w:val="13820206"/>
    <w:rsid w:val="13824BD3"/>
    <w:rsid w:val="138609D7"/>
    <w:rsid w:val="138A039A"/>
    <w:rsid w:val="13905376"/>
    <w:rsid w:val="139532E4"/>
    <w:rsid w:val="13A30FC3"/>
    <w:rsid w:val="13A31406"/>
    <w:rsid w:val="13A90461"/>
    <w:rsid w:val="13BF1D88"/>
    <w:rsid w:val="13DE3682"/>
    <w:rsid w:val="13EB3632"/>
    <w:rsid w:val="13ED26CD"/>
    <w:rsid w:val="14102B55"/>
    <w:rsid w:val="14197D9F"/>
    <w:rsid w:val="14237882"/>
    <w:rsid w:val="143E1552"/>
    <w:rsid w:val="143F6AFF"/>
    <w:rsid w:val="143F6E42"/>
    <w:rsid w:val="146B0173"/>
    <w:rsid w:val="146E1173"/>
    <w:rsid w:val="14786AC1"/>
    <w:rsid w:val="14870828"/>
    <w:rsid w:val="14920E25"/>
    <w:rsid w:val="1498573C"/>
    <w:rsid w:val="14991CB0"/>
    <w:rsid w:val="14A1759C"/>
    <w:rsid w:val="14B204D7"/>
    <w:rsid w:val="14B75A7E"/>
    <w:rsid w:val="14C155EF"/>
    <w:rsid w:val="14C82B34"/>
    <w:rsid w:val="14D8251F"/>
    <w:rsid w:val="14E04496"/>
    <w:rsid w:val="14E47DC0"/>
    <w:rsid w:val="14EA76A8"/>
    <w:rsid w:val="14EB34AC"/>
    <w:rsid w:val="14EB6105"/>
    <w:rsid w:val="14F2308B"/>
    <w:rsid w:val="14FD6BC6"/>
    <w:rsid w:val="15064D14"/>
    <w:rsid w:val="151B42D6"/>
    <w:rsid w:val="153700D9"/>
    <w:rsid w:val="153C511F"/>
    <w:rsid w:val="15404987"/>
    <w:rsid w:val="154D51FF"/>
    <w:rsid w:val="1555109B"/>
    <w:rsid w:val="155D5DFA"/>
    <w:rsid w:val="155F58CA"/>
    <w:rsid w:val="1560619C"/>
    <w:rsid w:val="15655D54"/>
    <w:rsid w:val="156B69AA"/>
    <w:rsid w:val="15700B17"/>
    <w:rsid w:val="1584685F"/>
    <w:rsid w:val="158472D3"/>
    <w:rsid w:val="158570C9"/>
    <w:rsid w:val="1592090C"/>
    <w:rsid w:val="159B4CCA"/>
    <w:rsid w:val="159D5808"/>
    <w:rsid w:val="15A46E63"/>
    <w:rsid w:val="15A52865"/>
    <w:rsid w:val="15AB3CC0"/>
    <w:rsid w:val="15B4460C"/>
    <w:rsid w:val="15C562E2"/>
    <w:rsid w:val="15C67F09"/>
    <w:rsid w:val="15D03364"/>
    <w:rsid w:val="15D22CDD"/>
    <w:rsid w:val="15DC62AF"/>
    <w:rsid w:val="15DF61C4"/>
    <w:rsid w:val="15F11A48"/>
    <w:rsid w:val="15F62CC1"/>
    <w:rsid w:val="15F725BC"/>
    <w:rsid w:val="15FA7C65"/>
    <w:rsid w:val="15FE3A77"/>
    <w:rsid w:val="16060241"/>
    <w:rsid w:val="16081ED8"/>
    <w:rsid w:val="16095AFF"/>
    <w:rsid w:val="160A5000"/>
    <w:rsid w:val="160D102D"/>
    <w:rsid w:val="161D124A"/>
    <w:rsid w:val="161E428D"/>
    <w:rsid w:val="16270C37"/>
    <w:rsid w:val="162B3FD9"/>
    <w:rsid w:val="162F0602"/>
    <w:rsid w:val="163539B0"/>
    <w:rsid w:val="163A4FD7"/>
    <w:rsid w:val="16494878"/>
    <w:rsid w:val="165243D6"/>
    <w:rsid w:val="1654399A"/>
    <w:rsid w:val="166415C4"/>
    <w:rsid w:val="1670292F"/>
    <w:rsid w:val="16867550"/>
    <w:rsid w:val="16876F47"/>
    <w:rsid w:val="16893317"/>
    <w:rsid w:val="169979F2"/>
    <w:rsid w:val="16A8222F"/>
    <w:rsid w:val="16B70F95"/>
    <w:rsid w:val="16DE10C7"/>
    <w:rsid w:val="16E353AF"/>
    <w:rsid w:val="16E84882"/>
    <w:rsid w:val="16EE785C"/>
    <w:rsid w:val="16F164D7"/>
    <w:rsid w:val="16FD1DB5"/>
    <w:rsid w:val="17005BF2"/>
    <w:rsid w:val="17150DAB"/>
    <w:rsid w:val="171E6088"/>
    <w:rsid w:val="172A6B63"/>
    <w:rsid w:val="17313BED"/>
    <w:rsid w:val="1734468E"/>
    <w:rsid w:val="17347D87"/>
    <w:rsid w:val="17480164"/>
    <w:rsid w:val="174B5EF9"/>
    <w:rsid w:val="174E4C34"/>
    <w:rsid w:val="175079B9"/>
    <w:rsid w:val="17540D91"/>
    <w:rsid w:val="17543A7F"/>
    <w:rsid w:val="1758341D"/>
    <w:rsid w:val="176075D3"/>
    <w:rsid w:val="176209E7"/>
    <w:rsid w:val="17623198"/>
    <w:rsid w:val="17642852"/>
    <w:rsid w:val="1768007F"/>
    <w:rsid w:val="17837B78"/>
    <w:rsid w:val="17907A85"/>
    <w:rsid w:val="17913205"/>
    <w:rsid w:val="1798692F"/>
    <w:rsid w:val="17A6334D"/>
    <w:rsid w:val="17AD1CCF"/>
    <w:rsid w:val="17AE317B"/>
    <w:rsid w:val="17B85BBA"/>
    <w:rsid w:val="17BE2A6F"/>
    <w:rsid w:val="17CD6181"/>
    <w:rsid w:val="17D62790"/>
    <w:rsid w:val="17DE412F"/>
    <w:rsid w:val="17DE72B7"/>
    <w:rsid w:val="17DF4E37"/>
    <w:rsid w:val="17E20D1C"/>
    <w:rsid w:val="17E84BB6"/>
    <w:rsid w:val="17F70F34"/>
    <w:rsid w:val="18321DF7"/>
    <w:rsid w:val="18335300"/>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3F457D"/>
    <w:rsid w:val="194150B0"/>
    <w:rsid w:val="19464D34"/>
    <w:rsid w:val="195B2644"/>
    <w:rsid w:val="197536BB"/>
    <w:rsid w:val="197D167D"/>
    <w:rsid w:val="19806D56"/>
    <w:rsid w:val="19864661"/>
    <w:rsid w:val="198957E0"/>
    <w:rsid w:val="198B37AE"/>
    <w:rsid w:val="19AB3A38"/>
    <w:rsid w:val="19B128A4"/>
    <w:rsid w:val="19B50A5E"/>
    <w:rsid w:val="19BD1CFE"/>
    <w:rsid w:val="19C54A70"/>
    <w:rsid w:val="19C945DE"/>
    <w:rsid w:val="19CA23B9"/>
    <w:rsid w:val="19D74F04"/>
    <w:rsid w:val="19DC58FA"/>
    <w:rsid w:val="19F35A27"/>
    <w:rsid w:val="19F56342"/>
    <w:rsid w:val="1A055C38"/>
    <w:rsid w:val="1A087D0E"/>
    <w:rsid w:val="1A0E07A1"/>
    <w:rsid w:val="1A2B7286"/>
    <w:rsid w:val="1A2E6712"/>
    <w:rsid w:val="1A315DD1"/>
    <w:rsid w:val="1A3501CD"/>
    <w:rsid w:val="1A3A4F94"/>
    <w:rsid w:val="1A490559"/>
    <w:rsid w:val="1A5363F7"/>
    <w:rsid w:val="1A65142D"/>
    <w:rsid w:val="1A6B3616"/>
    <w:rsid w:val="1A872A12"/>
    <w:rsid w:val="1A873374"/>
    <w:rsid w:val="1A88343C"/>
    <w:rsid w:val="1A8D28D6"/>
    <w:rsid w:val="1A8E00E9"/>
    <w:rsid w:val="1A9226AE"/>
    <w:rsid w:val="1A930DD5"/>
    <w:rsid w:val="1AC176FB"/>
    <w:rsid w:val="1AC532C3"/>
    <w:rsid w:val="1AC837C1"/>
    <w:rsid w:val="1AD03F0F"/>
    <w:rsid w:val="1AE82E43"/>
    <w:rsid w:val="1AE8581D"/>
    <w:rsid w:val="1AFC1C91"/>
    <w:rsid w:val="1B074DA9"/>
    <w:rsid w:val="1B095903"/>
    <w:rsid w:val="1B0C26CA"/>
    <w:rsid w:val="1B135D29"/>
    <w:rsid w:val="1B1E2E13"/>
    <w:rsid w:val="1B303882"/>
    <w:rsid w:val="1B351EE8"/>
    <w:rsid w:val="1B3B734E"/>
    <w:rsid w:val="1B47751A"/>
    <w:rsid w:val="1B4D3741"/>
    <w:rsid w:val="1B53737A"/>
    <w:rsid w:val="1B551190"/>
    <w:rsid w:val="1B55577C"/>
    <w:rsid w:val="1B6F4D3E"/>
    <w:rsid w:val="1B8158FF"/>
    <w:rsid w:val="1B82787B"/>
    <w:rsid w:val="1B8357F2"/>
    <w:rsid w:val="1B894426"/>
    <w:rsid w:val="1B8D4B2E"/>
    <w:rsid w:val="1B903EE2"/>
    <w:rsid w:val="1B9B7472"/>
    <w:rsid w:val="1BA0668A"/>
    <w:rsid w:val="1BBC1049"/>
    <w:rsid w:val="1BC67D9A"/>
    <w:rsid w:val="1BD2635E"/>
    <w:rsid w:val="1BDA50E3"/>
    <w:rsid w:val="1BDD017A"/>
    <w:rsid w:val="1BE2301B"/>
    <w:rsid w:val="1BE87F93"/>
    <w:rsid w:val="1BF867C3"/>
    <w:rsid w:val="1C04440C"/>
    <w:rsid w:val="1C0556D6"/>
    <w:rsid w:val="1C0B74FC"/>
    <w:rsid w:val="1C101482"/>
    <w:rsid w:val="1C13798A"/>
    <w:rsid w:val="1C1625E8"/>
    <w:rsid w:val="1C1D6CC9"/>
    <w:rsid w:val="1C20757A"/>
    <w:rsid w:val="1C263616"/>
    <w:rsid w:val="1C2C6017"/>
    <w:rsid w:val="1C2F45BE"/>
    <w:rsid w:val="1C316715"/>
    <w:rsid w:val="1C377675"/>
    <w:rsid w:val="1C3D50A3"/>
    <w:rsid w:val="1C3D6950"/>
    <w:rsid w:val="1C700429"/>
    <w:rsid w:val="1C757F7F"/>
    <w:rsid w:val="1C787286"/>
    <w:rsid w:val="1C7A531A"/>
    <w:rsid w:val="1C7A7D5A"/>
    <w:rsid w:val="1C7D7EB8"/>
    <w:rsid w:val="1C8801E2"/>
    <w:rsid w:val="1C89068F"/>
    <w:rsid w:val="1C8E1EAD"/>
    <w:rsid w:val="1C924399"/>
    <w:rsid w:val="1C9A5EA0"/>
    <w:rsid w:val="1C9A6A63"/>
    <w:rsid w:val="1C9F6C4A"/>
    <w:rsid w:val="1CBB0F59"/>
    <w:rsid w:val="1CBB7CFB"/>
    <w:rsid w:val="1CBE2DAD"/>
    <w:rsid w:val="1CC55E82"/>
    <w:rsid w:val="1CC7659B"/>
    <w:rsid w:val="1CCC53E0"/>
    <w:rsid w:val="1CD41FC4"/>
    <w:rsid w:val="1CD955BC"/>
    <w:rsid w:val="1CD96F2D"/>
    <w:rsid w:val="1CDB2822"/>
    <w:rsid w:val="1CE1155B"/>
    <w:rsid w:val="1CF52455"/>
    <w:rsid w:val="1CFB4DD2"/>
    <w:rsid w:val="1CFB7A1C"/>
    <w:rsid w:val="1D024D60"/>
    <w:rsid w:val="1D0D3BEC"/>
    <w:rsid w:val="1D116B5B"/>
    <w:rsid w:val="1D2768F8"/>
    <w:rsid w:val="1D2C06E2"/>
    <w:rsid w:val="1D3B59B9"/>
    <w:rsid w:val="1D441B58"/>
    <w:rsid w:val="1D4428DE"/>
    <w:rsid w:val="1D487B7E"/>
    <w:rsid w:val="1D4D79F9"/>
    <w:rsid w:val="1D5D6ACF"/>
    <w:rsid w:val="1D5E7A8C"/>
    <w:rsid w:val="1D6222F8"/>
    <w:rsid w:val="1D805237"/>
    <w:rsid w:val="1D810454"/>
    <w:rsid w:val="1D8A6D06"/>
    <w:rsid w:val="1D930C98"/>
    <w:rsid w:val="1D9F313C"/>
    <w:rsid w:val="1D9F4467"/>
    <w:rsid w:val="1DA2040C"/>
    <w:rsid w:val="1DA533ED"/>
    <w:rsid w:val="1DA83214"/>
    <w:rsid w:val="1DB65020"/>
    <w:rsid w:val="1DC30DCF"/>
    <w:rsid w:val="1DC41BB0"/>
    <w:rsid w:val="1DC65AF6"/>
    <w:rsid w:val="1DD614D7"/>
    <w:rsid w:val="1DEC2E2A"/>
    <w:rsid w:val="1DF57EA4"/>
    <w:rsid w:val="1E042D27"/>
    <w:rsid w:val="1E0A70F7"/>
    <w:rsid w:val="1E0E23C8"/>
    <w:rsid w:val="1E0F2815"/>
    <w:rsid w:val="1E365099"/>
    <w:rsid w:val="1E377012"/>
    <w:rsid w:val="1E3C35CE"/>
    <w:rsid w:val="1E440A9D"/>
    <w:rsid w:val="1E4E7A0E"/>
    <w:rsid w:val="1E4F1888"/>
    <w:rsid w:val="1E742DF8"/>
    <w:rsid w:val="1E750074"/>
    <w:rsid w:val="1E7D153B"/>
    <w:rsid w:val="1E95488C"/>
    <w:rsid w:val="1E9E6ED8"/>
    <w:rsid w:val="1E9F341B"/>
    <w:rsid w:val="1EA42A59"/>
    <w:rsid w:val="1EA569F7"/>
    <w:rsid w:val="1EA90065"/>
    <w:rsid w:val="1EAC5F6A"/>
    <w:rsid w:val="1EB1048D"/>
    <w:rsid w:val="1EB23F53"/>
    <w:rsid w:val="1EB31AED"/>
    <w:rsid w:val="1EBB6441"/>
    <w:rsid w:val="1EDF0012"/>
    <w:rsid w:val="1EE10A81"/>
    <w:rsid w:val="1EE5726D"/>
    <w:rsid w:val="1EF43711"/>
    <w:rsid w:val="1EF451B0"/>
    <w:rsid w:val="1EF6775E"/>
    <w:rsid w:val="1EFE123B"/>
    <w:rsid w:val="1EFE1FB4"/>
    <w:rsid w:val="1F015E1D"/>
    <w:rsid w:val="1F0467F7"/>
    <w:rsid w:val="1F054165"/>
    <w:rsid w:val="1F0C79F2"/>
    <w:rsid w:val="1F123352"/>
    <w:rsid w:val="1F1659F6"/>
    <w:rsid w:val="1F2963FC"/>
    <w:rsid w:val="1F2A5DDB"/>
    <w:rsid w:val="1F3B75FF"/>
    <w:rsid w:val="1F41163A"/>
    <w:rsid w:val="1F4A60EF"/>
    <w:rsid w:val="1F4B098F"/>
    <w:rsid w:val="1F546471"/>
    <w:rsid w:val="1F5772DA"/>
    <w:rsid w:val="1F5C3C4E"/>
    <w:rsid w:val="1F690D21"/>
    <w:rsid w:val="1F743C11"/>
    <w:rsid w:val="1F7B76BF"/>
    <w:rsid w:val="1F7C26CB"/>
    <w:rsid w:val="1F7F7D85"/>
    <w:rsid w:val="1F885D57"/>
    <w:rsid w:val="1F9A4A72"/>
    <w:rsid w:val="1FA27229"/>
    <w:rsid w:val="1FA6339C"/>
    <w:rsid w:val="1FAF73DE"/>
    <w:rsid w:val="1FB11014"/>
    <w:rsid w:val="1FBB763F"/>
    <w:rsid w:val="1FBC79E0"/>
    <w:rsid w:val="1FC74197"/>
    <w:rsid w:val="1FD479BA"/>
    <w:rsid w:val="1FD55230"/>
    <w:rsid w:val="1FD641AB"/>
    <w:rsid w:val="1FE15B0A"/>
    <w:rsid w:val="1FEA36CF"/>
    <w:rsid w:val="20006656"/>
    <w:rsid w:val="20084F74"/>
    <w:rsid w:val="200C6F0C"/>
    <w:rsid w:val="20192735"/>
    <w:rsid w:val="201D4044"/>
    <w:rsid w:val="201E5A7F"/>
    <w:rsid w:val="20213B0F"/>
    <w:rsid w:val="202C6A57"/>
    <w:rsid w:val="20347263"/>
    <w:rsid w:val="20380D58"/>
    <w:rsid w:val="203E746B"/>
    <w:rsid w:val="20450A76"/>
    <w:rsid w:val="20455F9C"/>
    <w:rsid w:val="205358CB"/>
    <w:rsid w:val="20543631"/>
    <w:rsid w:val="20565824"/>
    <w:rsid w:val="206A0EAE"/>
    <w:rsid w:val="208B227B"/>
    <w:rsid w:val="208E3E84"/>
    <w:rsid w:val="209078E2"/>
    <w:rsid w:val="209240DB"/>
    <w:rsid w:val="20934C03"/>
    <w:rsid w:val="20967A09"/>
    <w:rsid w:val="2097534B"/>
    <w:rsid w:val="20992CFD"/>
    <w:rsid w:val="20A06B66"/>
    <w:rsid w:val="20A3135D"/>
    <w:rsid w:val="20A443A7"/>
    <w:rsid w:val="20AC32E3"/>
    <w:rsid w:val="20B27C05"/>
    <w:rsid w:val="20C05709"/>
    <w:rsid w:val="20C225DC"/>
    <w:rsid w:val="20CA4CDE"/>
    <w:rsid w:val="20DE6240"/>
    <w:rsid w:val="20E02A2D"/>
    <w:rsid w:val="20EA32FE"/>
    <w:rsid w:val="20EF7279"/>
    <w:rsid w:val="20F17C8F"/>
    <w:rsid w:val="20FE3807"/>
    <w:rsid w:val="210C0C5D"/>
    <w:rsid w:val="2118732E"/>
    <w:rsid w:val="212B15F0"/>
    <w:rsid w:val="212D241D"/>
    <w:rsid w:val="21485CC6"/>
    <w:rsid w:val="214E6726"/>
    <w:rsid w:val="2150457A"/>
    <w:rsid w:val="215E0FE1"/>
    <w:rsid w:val="21704749"/>
    <w:rsid w:val="2180528B"/>
    <w:rsid w:val="21861895"/>
    <w:rsid w:val="21882C92"/>
    <w:rsid w:val="218A0326"/>
    <w:rsid w:val="218B5863"/>
    <w:rsid w:val="21963AE9"/>
    <w:rsid w:val="219648AE"/>
    <w:rsid w:val="219926C2"/>
    <w:rsid w:val="21A82BE0"/>
    <w:rsid w:val="21B92386"/>
    <w:rsid w:val="21C671D5"/>
    <w:rsid w:val="21CC6790"/>
    <w:rsid w:val="21CD469C"/>
    <w:rsid w:val="21D33ED7"/>
    <w:rsid w:val="21D71CCE"/>
    <w:rsid w:val="21DB194C"/>
    <w:rsid w:val="21E7264A"/>
    <w:rsid w:val="21EC11B4"/>
    <w:rsid w:val="21F139D9"/>
    <w:rsid w:val="21F75252"/>
    <w:rsid w:val="21FC15A7"/>
    <w:rsid w:val="22063857"/>
    <w:rsid w:val="22243C81"/>
    <w:rsid w:val="22243ED5"/>
    <w:rsid w:val="22321EC4"/>
    <w:rsid w:val="22352E93"/>
    <w:rsid w:val="223B79DE"/>
    <w:rsid w:val="223C0908"/>
    <w:rsid w:val="223E4404"/>
    <w:rsid w:val="224B437A"/>
    <w:rsid w:val="224D0D69"/>
    <w:rsid w:val="22656FB5"/>
    <w:rsid w:val="22901790"/>
    <w:rsid w:val="2290426C"/>
    <w:rsid w:val="22A91330"/>
    <w:rsid w:val="22AB3B04"/>
    <w:rsid w:val="22B34785"/>
    <w:rsid w:val="22B45A21"/>
    <w:rsid w:val="22B93637"/>
    <w:rsid w:val="22CA64AE"/>
    <w:rsid w:val="22D04F77"/>
    <w:rsid w:val="22EB053C"/>
    <w:rsid w:val="22F149E7"/>
    <w:rsid w:val="23151BBD"/>
    <w:rsid w:val="231A1850"/>
    <w:rsid w:val="231D6C85"/>
    <w:rsid w:val="232064A5"/>
    <w:rsid w:val="232A5F2C"/>
    <w:rsid w:val="232F0E77"/>
    <w:rsid w:val="233D44D4"/>
    <w:rsid w:val="234902A8"/>
    <w:rsid w:val="234A49FF"/>
    <w:rsid w:val="2352170F"/>
    <w:rsid w:val="23533331"/>
    <w:rsid w:val="23537622"/>
    <w:rsid w:val="236739BC"/>
    <w:rsid w:val="237D24A5"/>
    <w:rsid w:val="237E0DFB"/>
    <w:rsid w:val="237E7F63"/>
    <w:rsid w:val="238718C4"/>
    <w:rsid w:val="238B1768"/>
    <w:rsid w:val="238C26AF"/>
    <w:rsid w:val="23A60BED"/>
    <w:rsid w:val="23AF20CF"/>
    <w:rsid w:val="23B63105"/>
    <w:rsid w:val="23BE0C34"/>
    <w:rsid w:val="23CB68DD"/>
    <w:rsid w:val="23CE4722"/>
    <w:rsid w:val="23DB255A"/>
    <w:rsid w:val="23EE567F"/>
    <w:rsid w:val="23F134D0"/>
    <w:rsid w:val="23FE39DA"/>
    <w:rsid w:val="2409287D"/>
    <w:rsid w:val="24096248"/>
    <w:rsid w:val="24141A6F"/>
    <w:rsid w:val="2414434C"/>
    <w:rsid w:val="241B4EFA"/>
    <w:rsid w:val="2422724B"/>
    <w:rsid w:val="242B3B37"/>
    <w:rsid w:val="245B7134"/>
    <w:rsid w:val="24614B0B"/>
    <w:rsid w:val="246F1B15"/>
    <w:rsid w:val="24703780"/>
    <w:rsid w:val="247176AA"/>
    <w:rsid w:val="2485277B"/>
    <w:rsid w:val="248638D6"/>
    <w:rsid w:val="248F2AEF"/>
    <w:rsid w:val="2492033C"/>
    <w:rsid w:val="249D3DA9"/>
    <w:rsid w:val="24AD6B35"/>
    <w:rsid w:val="24B13323"/>
    <w:rsid w:val="24B335A8"/>
    <w:rsid w:val="24C6327F"/>
    <w:rsid w:val="24D334B9"/>
    <w:rsid w:val="24D834E8"/>
    <w:rsid w:val="24EA2AB5"/>
    <w:rsid w:val="24F0331A"/>
    <w:rsid w:val="24FD2B02"/>
    <w:rsid w:val="25024CF1"/>
    <w:rsid w:val="250C2B84"/>
    <w:rsid w:val="25112921"/>
    <w:rsid w:val="25121E66"/>
    <w:rsid w:val="25153A7B"/>
    <w:rsid w:val="251B4C7B"/>
    <w:rsid w:val="251B7C63"/>
    <w:rsid w:val="252F41B5"/>
    <w:rsid w:val="253E482D"/>
    <w:rsid w:val="25415276"/>
    <w:rsid w:val="25443395"/>
    <w:rsid w:val="25480684"/>
    <w:rsid w:val="254B11E9"/>
    <w:rsid w:val="255514A1"/>
    <w:rsid w:val="255B6449"/>
    <w:rsid w:val="25703075"/>
    <w:rsid w:val="25780C8E"/>
    <w:rsid w:val="258007D6"/>
    <w:rsid w:val="25892068"/>
    <w:rsid w:val="25A534F7"/>
    <w:rsid w:val="25AB5A20"/>
    <w:rsid w:val="25B40894"/>
    <w:rsid w:val="25C1645F"/>
    <w:rsid w:val="25D80A4D"/>
    <w:rsid w:val="25DB181A"/>
    <w:rsid w:val="25E049B0"/>
    <w:rsid w:val="25F92FDB"/>
    <w:rsid w:val="26001A57"/>
    <w:rsid w:val="26022936"/>
    <w:rsid w:val="26095F44"/>
    <w:rsid w:val="26162C84"/>
    <w:rsid w:val="263142D4"/>
    <w:rsid w:val="26316FE7"/>
    <w:rsid w:val="26415C43"/>
    <w:rsid w:val="26447916"/>
    <w:rsid w:val="265E0639"/>
    <w:rsid w:val="266866BD"/>
    <w:rsid w:val="26696824"/>
    <w:rsid w:val="266C42F7"/>
    <w:rsid w:val="267109C3"/>
    <w:rsid w:val="267365C7"/>
    <w:rsid w:val="268A5924"/>
    <w:rsid w:val="26972C43"/>
    <w:rsid w:val="26A31E28"/>
    <w:rsid w:val="26B650E7"/>
    <w:rsid w:val="26CB7903"/>
    <w:rsid w:val="26D11F9C"/>
    <w:rsid w:val="26D771E7"/>
    <w:rsid w:val="26E66172"/>
    <w:rsid w:val="26E9770B"/>
    <w:rsid w:val="26ED2E1C"/>
    <w:rsid w:val="26EF6891"/>
    <w:rsid w:val="27064754"/>
    <w:rsid w:val="271313BF"/>
    <w:rsid w:val="27190AE2"/>
    <w:rsid w:val="271E48E1"/>
    <w:rsid w:val="2728538E"/>
    <w:rsid w:val="272F28E5"/>
    <w:rsid w:val="273E000B"/>
    <w:rsid w:val="275A49BC"/>
    <w:rsid w:val="275C1141"/>
    <w:rsid w:val="276023AE"/>
    <w:rsid w:val="27685C29"/>
    <w:rsid w:val="276E5922"/>
    <w:rsid w:val="276E5D6B"/>
    <w:rsid w:val="276F6AD9"/>
    <w:rsid w:val="277C70AE"/>
    <w:rsid w:val="278630A6"/>
    <w:rsid w:val="2786663F"/>
    <w:rsid w:val="278803E2"/>
    <w:rsid w:val="27883A43"/>
    <w:rsid w:val="27B947C2"/>
    <w:rsid w:val="27BA2CFE"/>
    <w:rsid w:val="27CD25D1"/>
    <w:rsid w:val="27DB36C2"/>
    <w:rsid w:val="27DB4429"/>
    <w:rsid w:val="27F53EC1"/>
    <w:rsid w:val="28052235"/>
    <w:rsid w:val="281430C3"/>
    <w:rsid w:val="28152F24"/>
    <w:rsid w:val="281671B7"/>
    <w:rsid w:val="281E3EAE"/>
    <w:rsid w:val="28395805"/>
    <w:rsid w:val="285D13A9"/>
    <w:rsid w:val="28621496"/>
    <w:rsid w:val="28665560"/>
    <w:rsid w:val="2880449B"/>
    <w:rsid w:val="28966908"/>
    <w:rsid w:val="289813BC"/>
    <w:rsid w:val="28A742C0"/>
    <w:rsid w:val="28B16BAC"/>
    <w:rsid w:val="28B222C6"/>
    <w:rsid w:val="28BC08CE"/>
    <w:rsid w:val="28C820A4"/>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3550C"/>
    <w:rsid w:val="29352E7A"/>
    <w:rsid w:val="29415D74"/>
    <w:rsid w:val="29421D49"/>
    <w:rsid w:val="29537E1D"/>
    <w:rsid w:val="2954117E"/>
    <w:rsid w:val="295B0F1F"/>
    <w:rsid w:val="295B72FD"/>
    <w:rsid w:val="296854E7"/>
    <w:rsid w:val="296D615D"/>
    <w:rsid w:val="296E046F"/>
    <w:rsid w:val="296E145D"/>
    <w:rsid w:val="29703F71"/>
    <w:rsid w:val="29705FD0"/>
    <w:rsid w:val="297A51BC"/>
    <w:rsid w:val="298D58DE"/>
    <w:rsid w:val="299270F0"/>
    <w:rsid w:val="299D603F"/>
    <w:rsid w:val="29A9096D"/>
    <w:rsid w:val="29F30685"/>
    <w:rsid w:val="29F31B60"/>
    <w:rsid w:val="29FD3CFC"/>
    <w:rsid w:val="29FE285D"/>
    <w:rsid w:val="29FF2DEE"/>
    <w:rsid w:val="2A010675"/>
    <w:rsid w:val="2A0555DF"/>
    <w:rsid w:val="2A074829"/>
    <w:rsid w:val="2A14390A"/>
    <w:rsid w:val="2A164EBF"/>
    <w:rsid w:val="2A203DF6"/>
    <w:rsid w:val="2A2C2481"/>
    <w:rsid w:val="2A386268"/>
    <w:rsid w:val="2A3D2220"/>
    <w:rsid w:val="2A460ABD"/>
    <w:rsid w:val="2A483EE6"/>
    <w:rsid w:val="2A55053C"/>
    <w:rsid w:val="2A612E01"/>
    <w:rsid w:val="2A6625BB"/>
    <w:rsid w:val="2A6E53DD"/>
    <w:rsid w:val="2A6F665D"/>
    <w:rsid w:val="2A7478E4"/>
    <w:rsid w:val="2A75394A"/>
    <w:rsid w:val="2A7B1A6A"/>
    <w:rsid w:val="2A9D2B12"/>
    <w:rsid w:val="2AA26DDA"/>
    <w:rsid w:val="2AA71F23"/>
    <w:rsid w:val="2AA824F5"/>
    <w:rsid w:val="2AB17574"/>
    <w:rsid w:val="2AB87157"/>
    <w:rsid w:val="2ABA6525"/>
    <w:rsid w:val="2ACD11D1"/>
    <w:rsid w:val="2AD212BC"/>
    <w:rsid w:val="2AD35375"/>
    <w:rsid w:val="2AD42302"/>
    <w:rsid w:val="2AE62A58"/>
    <w:rsid w:val="2AF10F9A"/>
    <w:rsid w:val="2AF81ECB"/>
    <w:rsid w:val="2AF87E90"/>
    <w:rsid w:val="2AFF1DEE"/>
    <w:rsid w:val="2B00513A"/>
    <w:rsid w:val="2B030144"/>
    <w:rsid w:val="2B093A45"/>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6674DA"/>
    <w:rsid w:val="2B7327A0"/>
    <w:rsid w:val="2B7B3555"/>
    <w:rsid w:val="2B8D5E85"/>
    <w:rsid w:val="2B98279B"/>
    <w:rsid w:val="2B985EDD"/>
    <w:rsid w:val="2BA63509"/>
    <w:rsid w:val="2BB7432C"/>
    <w:rsid w:val="2BBC1803"/>
    <w:rsid w:val="2BC37AF5"/>
    <w:rsid w:val="2BCA2615"/>
    <w:rsid w:val="2BCD5BB3"/>
    <w:rsid w:val="2BCE12ED"/>
    <w:rsid w:val="2BCE5522"/>
    <w:rsid w:val="2BD348BC"/>
    <w:rsid w:val="2BDC3B19"/>
    <w:rsid w:val="2BE36359"/>
    <w:rsid w:val="2BE77ECB"/>
    <w:rsid w:val="2BEA35FC"/>
    <w:rsid w:val="2BFB0B13"/>
    <w:rsid w:val="2C230952"/>
    <w:rsid w:val="2C235F5A"/>
    <w:rsid w:val="2C343D09"/>
    <w:rsid w:val="2C5E5584"/>
    <w:rsid w:val="2C6124AA"/>
    <w:rsid w:val="2C686023"/>
    <w:rsid w:val="2C6C33C4"/>
    <w:rsid w:val="2C6C3A10"/>
    <w:rsid w:val="2C757714"/>
    <w:rsid w:val="2C7776E5"/>
    <w:rsid w:val="2C7A2BC6"/>
    <w:rsid w:val="2C7D09EA"/>
    <w:rsid w:val="2C824963"/>
    <w:rsid w:val="2C8766FB"/>
    <w:rsid w:val="2C907E61"/>
    <w:rsid w:val="2C9B65C3"/>
    <w:rsid w:val="2CA05C4F"/>
    <w:rsid w:val="2CAE4A9C"/>
    <w:rsid w:val="2CB06759"/>
    <w:rsid w:val="2CB266D0"/>
    <w:rsid w:val="2CBB3133"/>
    <w:rsid w:val="2CBD7757"/>
    <w:rsid w:val="2CC44E07"/>
    <w:rsid w:val="2CC569CB"/>
    <w:rsid w:val="2CC74803"/>
    <w:rsid w:val="2CCE1CF6"/>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3242"/>
    <w:rsid w:val="2D623805"/>
    <w:rsid w:val="2D6C0E6E"/>
    <w:rsid w:val="2D6D3CA2"/>
    <w:rsid w:val="2D781D43"/>
    <w:rsid w:val="2D7D7121"/>
    <w:rsid w:val="2D83060C"/>
    <w:rsid w:val="2D854A69"/>
    <w:rsid w:val="2D8A0306"/>
    <w:rsid w:val="2D9F76F9"/>
    <w:rsid w:val="2DA74F81"/>
    <w:rsid w:val="2DAB42E1"/>
    <w:rsid w:val="2DB26597"/>
    <w:rsid w:val="2DB5614E"/>
    <w:rsid w:val="2DCB194C"/>
    <w:rsid w:val="2DCC230C"/>
    <w:rsid w:val="2DD3278C"/>
    <w:rsid w:val="2DD66EDF"/>
    <w:rsid w:val="2DDF642E"/>
    <w:rsid w:val="2DE32A97"/>
    <w:rsid w:val="2DE7057C"/>
    <w:rsid w:val="2DEF6E00"/>
    <w:rsid w:val="2DF44D52"/>
    <w:rsid w:val="2DF635D7"/>
    <w:rsid w:val="2DF9019C"/>
    <w:rsid w:val="2DFA040F"/>
    <w:rsid w:val="2E056DE4"/>
    <w:rsid w:val="2E066EF7"/>
    <w:rsid w:val="2E0901D2"/>
    <w:rsid w:val="2E1A3E74"/>
    <w:rsid w:val="2E203718"/>
    <w:rsid w:val="2E234CF1"/>
    <w:rsid w:val="2E2746AE"/>
    <w:rsid w:val="2E2A3A31"/>
    <w:rsid w:val="2E2C6D07"/>
    <w:rsid w:val="2E2F6083"/>
    <w:rsid w:val="2E355706"/>
    <w:rsid w:val="2E454D2B"/>
    <w:rsid w:val="2E572CC0"/>
    <w:rsid w:val="2E5B5381"/>
    <w:rsid w:val="2EA13F74"/>
    <w:rsid w:val="2EA3796D"/>
    <w:rsid w:val="2EB005F7"/>
    <w:rsid w:val="2EB14523"/>
    <w:rsid w:val="2EB5032D"/>
    <w:rsid w:val="2ECA71C4"/>
    <w:rsid w:val="2ECC4907"/>
    <w:rsid w:val="2ED42187"/>
    <w:rsid w:val="2EDB1B05"/>
    <w:rsid w:val="2EDD6653"/>
    <w:rsid w:val="2EDE6E27"/>
    <w:rsid w:val="2EE124DD"/>
    <w:rsid w:val="2EE70CD5"/>
    <w:rsid w:val="2EEF4A6B"/>
    <w:rsid w:val="2F055B2A"/>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C56F8E"/>
    <w:rsid w:val="2FD804D0"/>
    <w:rsid w:val="2FEA312C"/>
    <w:rsid w:val="2FF51385"/>
    <w:rsid w:val="2FFB449B"/>
    <w:rsid w:val="2FFE0E4A"/>
    <w:rsid w:val="30032FEE"/>
    <w:rsid w:val="300635B2"/>
    <w:rsid w:val="30070CA9"/>
    <w:rsid w:val="300D11EE"/>
    <w:rsid w:val="300F2D5A"/>
    <w:rsid w:val="301C6BB4"/>
    <w:rsid w:val="30214C7E"/>
    <w:rsid w:val="302F6ADD"/>
    <w:rsid w:val="30314F45"/>
    <w:rsid w:val="3042487F"/>
    <w:rsid w:val="304917B8"/>
    <w:rsid w:val="304D5D1A"/>
    <w:rsid w:val="304F6507"/>
    <w:rsid w:val="305B6E73"/>
    <w:rsid w:val="305E79BD"/>
    <w:rsid w:val="30624751"/>
    <w:rsid w:val="3081657F"/>
    <w:rsid w:val="308817D6"/>
    <w:rsid w:val="309E55A3"/>
    <w:rsid w:val="30A64A4F"/>
    <w:rsid w:val="30A9367D"/>
    <w:rsid w:val="30B31354"/>
    <w:rsid w:val="30B31546"/>
    <w:rsid w:val="30D51325"/>
    <w:rsid w:val="30DC47F8"/>
    <w:rsid w:val="30E92225"/>
    <w:rsid w:val="30EB42D6"/>
    <w:rsid w:val="30F00D6B"/>
    <w:rsid w:val="30F91599"/>
    <w:rsid w:val="30FD18B7"/>
    <w:rsid w:val="31073C5C"/>
    <w:rsid w:val="310760B3"/>
    <w:rsid w:val="31082C64"/>
    <w:rsid w:val="31092B4D"/>
    <w:rsid w:val="31223AD7"/>
    <w:rsid w:val="312566FC"/>
    <w:rsid w:val="312F75C1"/>
    <w:rsid w:val="31366F42"/>
    <w:rsid w:val="313C7BC6"/>
    <w:rsid w:val="31443D27"/>
    <w:rsid w:val="315863A5"/>
    <w:rsid w:val="317B6247"/>
    <w:rsid w:val="3184584E"/>
    <w:rsid w:val="31890AFA"/>
    <w:rsid w:val="31942C78"/>
    <w:rsid w:val="31B575A2"/>
    <w:rsid w:val="31BE62BB"/>
    <w:rsid w:val="31D404B6"/>
    <w:rsid w:val="31DE2BE9"/>
    <w:rsid w:val="31DF79AA"/>
    <w:rsid w:val="31E159BF"/>
    <w:rsid w:val="31E31A45"/>
    <w:rsid w:val="31EE1B5E"/>
    <w:rsid w:val="31F95C2B"/>
    <w:rsid w:val="321D6B3D"/>
    <w:rsid w:val="3220264A"/>
    <w:rsid w:val="32270B61"/>
    <w:rsid w:val="32325070"/>
    <w:rsid w:val="323E51C2"/>
    <w:rsid w:val="32400044"/>
    <w:rsid w:val="32526112"/>
    <w:rsid w:val="32536402"/>
    <w:rsid w:val="32563927"/>
    <w:rsid w:val="325D2CD1"/>
    <w:rsid w:val="326052C1"/>
    <w:rsid w:val="32644F9E"/>
    <w:rsid w:val="326B0BAF"/>
    <w:rsid w:val="327370E0"/>
    <w:rsid w:val="32764D1D"/>
    <w:rsid w:val="32844B47"/>
    <w:rsid w:val="3288180B"/>
    <w:rsid w:val="32AC064F"/>
    <w:rsid w:val="32B62C32"/>
    <w:rsid w:val="32BE44DF"/>
    <w:rsid w:val="32D23AA1"/>
    <w:rsid w:val="32E7237C"/>
    <w:rsid w:val="32EE24F2"/>
    <w:rsid w:val="32F849BA"/>
    <w:rsid w:val="32FA4E00"/>
    <w:rsid w:val="33097FCB"/>
    <w:rsid w:val="330C0FDE"/>
    <w:rsid w:val="330F07F9"/>
    <w:rsid w:val="33195FB7"/>
    <w:rsid w:val="331E1AA2"/>
    <w:rsid w:val="33236153"/>
    <w:rsid w:val="3325361E"/>
    <w:rsid w:val="332C6DB4"/>
    <w:rsid w:val="333971B7"/>
    <w:rsid w:val="333B07B1"/>
    <w:rsid w:val="33407A22"/>
    <w:rsid w:val="3343097A"/>
    <w:rsid w:val="33603210"/>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528B8"/>
    <w:rsid w:val="342F6D32"/>
    <w:rsid w:val="343C4573"/>
    <w:rsid w:val="3442587D"/>
    <w:rsid w:val="34455F36"/>
    <w:rsid w:val="34516FC2"/>
    <w:rsid w:val="34555684"/>
    <w:rsid w:val="34660FB4"/>
    <w:rsid w:val="346F196C"/>
    <w:rsid w:val="348C027B"/>
    <w:rsid w:val="34921202"/>
    <w:rsid w:val="34974D2D"/>
    <w:rsid w:val="34A01296"/>
    <w:rsid w:val="34A72BC4"/>
    <w:rsid w:val="34AD636D"/>
    <w:rsid w:val="34BC5F61"/>
    <w:rsid w:val="34C868B7"/>
    <w:rsid w:val="34D35AEF"/>
    <w:rsid w:val="34D37972"/>
    <w:rsid w:val="34D6123A"/>
    <w:rsid w:val="34F76022"/>
    <w:rsid w:val="35027278"/>
    <w:rsid w:val="35066340"/>
    <w:rsid w:val="35194A87"/>
    <w:rsid w:val="351A6AAD"/>
    <w:rsid w:val="352C21B2"/>
    <w:rsid w:val="35441378"/>
    <w:rsid w:val="354C204D"/>
    <w:rsid w:val="35533710"/>
    <w:rsid w:val="355B6A6F"/>
    <w:rsid w:val="35616185"/>
    <w:rsid w:val="356C7D73"/>
    <w:rsid w:val="357E1639"/>
    <w:rsid w:val="35834702"/>
    <w:rsid w:val="35952CEE"/>
    <w:rsid w:val="35A437E8"/>
    <w:rsid w:val="35AB2012"/>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302208"/>
    <w:rsid w:val="36471A5E"/>
    <w:rsid w:val="364931EB"/>
    <w:rsid w:val="3667341B"/>
    <w:rsid w:val="36751470"/>
    <w:rsid w:val="36831F31"/>
    <w:rsid w:val="36887E64"/>
    <w:rsid w:val="368A2FB4"/>
    <w:rsid w:val="368C3AE5"/>
    <w:rsid w:val="36961ED1"/>
    <w:rsid w:val="36A15210"/>
    <w:rsid w:val="36AB4006"/>
    <w:rsid w:val="36AC17C1"/>
    <w:rsid w:val="36BA5016"/>
    <w:rsid w:val="36BE1918"/>
    <w:rsid w:val="36BE2266"/>
    <w:rsid w:val="36C02FF5"/>
    <w:rsid w:val="36C8525D"/>
    <w:rsid w:val="36CE2B8B"/>
    <w:rsid w:val="36DA5D27"/>
    <w:rsid w:val="36DF0826"/>
    <w:rsid w:val="36E53D9A"/>
    <w:rsid w:val="36EE176D"/>
    <w:rsid w:val="36F4518E"/>
    <w:rsid w:val="36FE1089"/>
    <w:rsid w:val="370214AD"/>
    <w:rsid w:val="37036FE3"/>
    <w:rsid w:val="370749B6"/>
    <w:rsid w:val="370F26F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964800"/>
    <w:rsid w:val="37A30873"/>
    <w:rsid w:val="37A82E6A"/>
    <w:rsid w:val="37AD2BE0"/>
    <w:rsid w:val="37C04076"/>
    <w:rsid w:val="37C513E1"/>
    <w:rsid w:val="37CB48C8"/>
    <w:rsid w:val="37CC77E5"/>
    <w:rsid w:val="37D42753"/>
    <w:rsid w:val="37EB7EF5"/>
    <w:rsid w:val="37EF04F2"/>
    <w:rsid w:val="37FB0B3E"/>
    <w:rsid w:val="38055B4D"/>
    <w:rsid w:val="38174BCF"/>
    <w:rsid w:val="381B47D0"/>
    <w:rsid w:val="38274ABD"/>
    <w:rsid w:val="382D1422"/>
    <w:rsid w:val="382D2E19"/>
    <w:rsid w:val="382E08BB"/>
    <w:rsid w:val="383057ED"/>
    <w:rsid w:val="38345640"/>
    <w:rsid w:val="38350C02"/>
    <w:rsid w:val="383651A6"/>
    <w:rsid w:val="384C67B9"/>
    <w:rsid w:val="384E6F01"/>
    <w:rsid w:val="384F3E8F"/>
    <w:rsid w:val="385E3236"/>
    <w:rsid w:val="38707D56"/>
    <w:rsid w:val="38766C47"/>
    <w:rsid w:val="3887059F"/>
    <w:rsid w:val="38880168"/>
    <w:rsid w:val="388F0D9F"/>
    <w:rsid w:val="38922097"/>
    <w:rsid w:val="38BB7AE2"/>
    <w:rsid w:val="38CC185A"/>
    <w:rsid w:val="38D233FA"/>
    <w:rsid w:val="38D43BCE"/>
    <w:rsid w:val="38D5234B"/>
    <w:rsid w:val="38D5710F"/>
    <w:rsid w:val="38EA64E4"/>
    <w:rsid w:val="38FA0464"/>
    <w:rsid w:val="38FF192C"/>
    <w:rsid w:val="39145CDB"/>
    <w:rsid w:val="391C4E68"/>
    <w:rsid w:val="393F6FB8"/>
    <w:rsid w:val="39563559"/>
    <w:rsid w:val="39570EDE"/>
    <w:rsid w:val="395B167E"/>
    <w:rsid w:val="39604460"/>
    <w:rsid w:val="39615265"/>
    <w:rsid w:val="39656815"/>
    <w:rsid w:val="3976301D"/>
    <w:rsid w:val="397D6F73"/>
    <w:rsid w:val="39802ECC"/>
    <w:rsid w:val="39865E81"/>
    <w:rsid w:val="398A56A9"/>
    <w:rsid w:val="3990522A"/>
    <w:rsid w:val="39926E4B"/>
    <w:rsid w:val="39944C4D"/>
    <w:rsid w:val="399D4F85"/>
    <w:rsid w:val="39AD28F1"/>
    <w:rsid w:val="39B02129"/>
    <w:rsid w:val="39B8558E"/>
    <w:rsid w:val="39BC6F23"/>
    <w:rsid w:val="39BD345B"/>
    <w:rsid w:val="39E139DA"/>
    <w:rsid w:val="39F745F9"/>
    <w:rsid w:val="39FD1B1B"/>
    <w:rsid w:val="3A1320A7"/>
    <w:rsid w:val="3A1530F4"/>
    <w:rsid w:val="3A176B0E"/>
    <w:rsid w:val="3A191CC0"/>
    <w:rsid w:val="3A194BBA"/>
    <w:rsid w:val="3A1A3080"/>
    <w:rsid w:val="3A1C3214"/>
    <w:rsid w:val="3A2B5CE1"/>
    <w:rsid w:val="3A2D2D36"/>
    <w:rsid w:val="3A542EE1"/>
    <w:rsid w:val="3A5C1538"/>
    <w:rsid w:val="3A5D61D4"/>
    <w:rsid w:val="3A66187F"/>
    <w:rsid w:val="3A6F23F7"/>
    <w:rsid w:val="3A761F09"/>
    <w:rsid w:val="3A7E466F"/>
    <w:rsid w:val="3A8A0C83"/>
    <w:rsid w:val="3A904241"/>
    <w:rsid w:val="3A95462C"/>
    <w:rsid w:val="3A977353"/>
    <w:rsid w:val="3AA3573F"/>
    <w:rsid w:val="3AAC48B0"/>
    <w:rsid w:val="3AB51559"/>
    <w:rsid w:val="3AB80274"/>
    <w:rsid w:val="3AD830F7"/>
    <w:rsid w:val="3AD86362"/>
    <w:rsid w:val="3AE801A7"/>
    <w:rsid w:val="3AED182C"/>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46A17"/>
    <w:rsid w:val="3BD820FE"/>
    <w:rsid w:val="3BEA365B"/>
    <w:rsid w:val="3BEB58D7"/>
    <w:rsid w:val="3BEB623F"/>
    <w:rsid w:val="3BF8706E"/>
    <w:rsid w:val="3BF94F40"/>
    <w:rsid w:val="3BFE0325"/>
    <w:rsid w:val="3C022C6A"/>
    <w:rsid w:val="3C0700C2"/>
    <w:rsid w:val="3C19096E"/>
    <w:rsid w:val="3C1957C8"/>
    <w:rsid w:val="3C1C0639"/>
    <w:rsid w:val="3C234DFB"/>
    <w:rsid w:val="3C2E346D"/>
    <w:rsid w:val="3C300658"/>
    <w:rsid w:val="3C346B7B"/>
    <w:rsid w:val="3C3B425B"/>
    <w:rsid w:val="3C3B71BC"/>
    <w:rsid w:val="3C435080"/>
    <w:rsid w:val="3C482649"/>
    <w:rsid w:val="3C543122"/>
    <w:rsid w:val="3C5619EB"/>
    <w:rsid w:val="3C5E73C8"/>
    <w:rsid w:val="3C620A5E"/>
    <w:rsid w:val="3C6541EF"/>
    <w:rsid w:val="3C6C3E08"/>
    <w:rsid w:val="3C6E47E3"/>
    <w:rsid w:val="3C72222C"/>
    <w:rsid w:val="3C744B26"/>
    <w:rsid w:val="3C816E1B"/>
    <w:rsid w:val="3C831660"/>
    <w:rsid w:val="3C9F3414"/>
    <w:rsid w:val="3CBC4692"/>
    <w:rsid w:val="3CDC4055"/>
    <w:rsid w:val="3CDD5498"/>
    <w:rsid w:val="3CE54795"/>
    <w:rsid w:val="3CEA0930"/>
    <w:rsid w:val="3CEB1843"/>
    <w:rsid w:val="3CF27B95"/>
    <w:rsid w:val="3CFD1289"/>
    <w:rsid w:val="3CFF5A50"/>
    <w:rsid w:val="3D054D0E"/>
    <w:rsid w:val="3D066B35"/>
    <w:rsid w:val="3D106EB6"/>
    <w:rsid w:val="3D144089"/>
    <w:rsid w:val="3D1C0B24"/>
    <w:rsid w:val="3D3C210D"/>
    <w:rsid w:val="3D56127A"/>
    <w:rsid w:val="3D575AE9"/>
    <w:rsid w:val="3D577119"/>
    <w:rsid w:val="3D5A3B41"/>
    <w:rsid w:val="3D5F5D82"/>
    <w:rsid w:val="3D60278F"/>
    <w:rsid w:val="3D6636D8"/>
    <w:rsid w:val="3D676FE6"/>
    <w:rsid w:val="3D6F4D23"/>
    <w:rsid w:val="3D7D68E8"/>
    <w:rsid w:val="3D816473"/>
    <w:rsid w:val="3D8309F7"/>
    <w:rsid w:val="3D8A2AEC"/>
    <w:rsid w:val="3D924D76"/>
    <w:rsid w:val="3D936176"/>
    <w:rsid w:val="3DA605F1"/>
    <w:rsid w:val="3DB4187D"/>
    <w:rsid w:val="3DB624D6"/>
    <w:rsid w:val="3DC96A91"/>
    <w:rsid w:val="3DCE4212"/>
    <w:rsid w:val="3DE50A71"/>
    <w:rsid w:val="3DF15DDC"/>
    <w:rsid w:val="3DF43ED5"/>
    <w:rsid w:val="3E0B107A"/>
    <w:rsid w:val="3E1D3429"/>
    <w:rsid w:val="3E297137"/>
    <w:rsid w:val="3E2A07CB"/>
    <w:rsid w:val="3E365B88"/>
    <w:rsid w:val="3E4B5902"/>
    <w:rsid w:val="3E4D3C18"/>
    <w:rsid w:val="3E5E47FF"/>
    <w:rsid w:val="3E620DC8"/>
    <w:rsid w:val="3E622D54"/>
    <w:rsid w:val="3E650593"/>
    <w:rsid w:val="3E684068"/>
    <w:rsid w:val="3E7F51AE"/>
    <w:rsid w:val="3E895706"/>
    <w:rsid w:val="3E9111B3"/>
    <w:rsid w:val="3EA9033A"/>
    <w:rsid w:val="3EAF72E4"/>
    <w:rsid w:val="3EB3388D"/>
    <w:rsid w:val="3EDD4864"/>
    <w:rsid w:val="3F075FB1"/>
    <w:rsid w:val="3F102CB6"/>
    <w:rsid w:val="3F102D50"/>
    <w:rsid w:val="3F1B13EE"/>
    <w:rsid w:val="3F21691D"/>
    <w:rsid w:val="3F227F5D"/>
    <w:rsid w:val="3F257466"/>
    <w:rsid w:val="3F26543B"/>
    <w:rsid w:val="3F2F5A8C"/>
    <w:rsid w:val="3F337273"/>
    <w:rsid w:val="3F386A83"/>
    <w:rsid w:val="3F412DEC"/>
    <w:rsid w:val="3F425D2C"/>
    <w:rsid w:val="3F5B19BB"/>
    <w:rsid w:val="3F5E64B5"/>
    <w:rsid w:val="3F674097"/>
    <w:rsid w:val="3F6B0F2F"/>
    <w:rsid w:val="3F6E7226"/>
    <w:rsid w:val="3F722D47"/>
    <w:rsid w:val="3F7418AC"/>
    <w:rsid w:val="3F7B467C"/>
    <w:rsid w:val="3F7F4BFD"/>
    <w:rsid w:val="3F8534F2"/>
    <w:rsid w:val="3F866098"/>
    <w:rsid w:val="3F8B1BED"/>
    <w:rsid w:val="3F8D44E0"/>
    <w:rsid w:val="3F8D6CDE"/>
    <w:rsid w:val="3F9C3E7C"/>
    <w:rsid w:val="3FB14323"/>
    <w:rsid w:val="3FBE27AD"/>
    <w:rsid w:val="3FEB0F5D"/>
    <w:rsid w:val="3FED37A2"/>
    <w:rsid w:val="3FF76865"/>
    <w:rsid w:val="40091C0E"/>
    <w:rsid w:val="40097753"/>
    <w:rsid w:val="400A538D"/>
    <w:rsid w:val="401041CC"/>
    <w:rsid w:val="401C0644"/>
    <w:rsid w:val="40385090"/>
    <w:rsid w:val="403D4075"/>
    <w:rsid w:val="40581609"/>
    <w:rsid w:val="406218B7"/>
    <w:rsid w:val="4062552B"/>
    <w:rsid w:val="40762F0A"/>
    <w:rsid w:val="40765E8A"/>
    <w:rsid w:val="407E641B"/>
    <w:rsid w:val="40820FEC"/>
    <w:rsid w:val="40825976"/>
    <w:rsid w:val="4084632A"/>
    <w:rsid w:val="40BF104F"/>
    <w:rsid w:val="40C348C4"/>
    <w:rsid w:val="40C62545"/>
    <w:rsid w:val="40D00C0D"/>
    <w:rsid w:val="40D01ACC"/>
    <w:rsid w:val="40D14D78"/>
    <w:rsid w:val="40D948D4"/>
    <w:rsid w:val="40E11F2D"/>
    <w:rsid w:val="40EC441D"/>
    <w:rsid w:val="40F044C9"/>
    <w:rsid w:val="410E0A00"/>
    <w:rsid w:val="41180D6F"/>
    <w:rsid w:val="41365148"/>
    <w:rsid w:val="41371FE0"/>
    <w:rsid w:val="413F34EE"/>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BC02C9"/>
    <w:rsid w:val="41C5567C"/>
    <w:rsid w:val="41C94A4A"/>
    <w:rsid w:val="41D4344D"/>
    <w:rsid w:val="41D66F44"/>
    <w:rsid w:val="41D855AF"/>
    <w:rsid w:val="41DF07EE"/>
    <w:rsid w:val="41E33215"/>
    <w:rsid w:val="41EE0902"/>
    <w:rsid w:val="42090E1D"/>
    <w:rsid w:val="4209415C"/>
    <w:rsid w:val="420D6792"/>
    <w:rsid w:val="420F6D1D"/>
    <w:rsid w:val="42126EA7"/>
    <w:rsid w:val="4220489C"/>
    <w:rsid w:val="425C5BCE"/>
    <w:rsid w:val="42605FC7"/>
    <w:rsid w:val="427E1411"/>
    <w:rsid w:val="427E1440"/>
    <w:rsid w:val="428566C0"/>
    <w:rsid w:val="42904B06"/>
    <w:rsid w:val="42A97915"/>
    <w:rsid w:val="42AF6E21"/>
    <w:rsid w:val="42B61D72"/>
    <w:rsid w:val="42B95478"/>
    <w:rsid w:val="42BC2E3B"/>
    <w:rsid w:val="42BF7DAE"/>
    <w:rsid w:val="42C60F3B"/>
    <w:rsid w:val="42D21379"/>
    <w:rsid w:val="42EC5ED5"/>
    <w:rsid w:val="42F35F7E"/>
    <w:rsid w:val="4304205B"/>
    <w:rsid w:val="430E6D0F"/>
    <w:rsid w:val="43204EC9"/>
    <w:rsid w:val="432F1F6C"/>
    <w:rsid w:val="43386CA4"/>
    <w:rsid w:val="433D333A"/>
    <w:rsid w:val="43422211"/>
    <w:rsid w:val="4343018D"/>
    <w:rsid w:val="4348461B"/>
    <w:rsid w:val="434C4375"/>
    <w:rsid w:val="434E3D91"/>
    <w:rsid w:val="43605D67"/>
    <w:rsid w:val="436647E4"/>
    <w:rsid w:val="43675D4E"/>
    <w:rsid w:val="436E31A2"/>
    <w:rsid w:val="436E6A85"/>
    <w:rsid w:val="437C39D2"/>
    <w:rsid w:val="438863EE"/>
    <w:rsid w:val="438B1E5B"/>
    <w:rsid w:val="43A67E9D"/>
    <w:rsid w:val="43A9250C"/>
    <w:rsid w:val="43A94C99"/>
    <w:rsid w:val="43AD047C"/>
    <w:rsid w:val="43B93CA1"/>
    <w:rsid w:val="43C96CC1"/>
    <w:rsid w:val="43D95A5E"/>
    <w:rsid w:val="43DB681A"/>
    <w:rsid w:val="43E66B2A"/>
    <w:rsid w:val="43EF7DF5"/>
    <w:rsid w:val="43F75428"/>
    <w:rsid w:val="44055F96"/>
    <w:rsid w:val="44062A2A"/>
    <w:rsid w:val="44064D7F"/>
    <w:rsid w:val="440F21F4"/>
    <w:rsid w:val="442372EF"/>
    <w:rsid w:val="44304DCF"/>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AD58F9"/>
    <w:rsid w:val="44B00AD5"/>
    <w:rsid w:val="44C0317F"/>
    <w:rsid w:val="44C03657"/>
    <w:rsid w:val="44CA33E5"/>
    <w:rsid w:val="44CA44C7"/>
    <w:rsid w:val="44CB2B24"/>
    <w:rsid w:val="44CC6B71"/>
    <w:rsid w:val="44D2188E"/>
    <w:rsid w:val="44DB63C4"/>
    <w:rsid w:val="44E63F80"/>
    <w:rsid w:val="44FF12D4"/>
    <w:rsid w:val="4505615F"/>
    <w:rsid w:val="45183995"/>
    <w:rsid w:val="45195E19"/>
    <w:rsid w:val="451A08D6"/>
    <w:rsid w:val="451A4504"/>
    <w:rsid w:val="45216D6E"/>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44685"/>
    <w:rsid w:val="45E83918"/>
    <w:rsid w:val="45F524BA"/>
    <w:rsid w:val="45F85B25"/>
    <w:rsid w:val="45FA5BAF"/>
    <w:rsid w:val="45FD1EC4"/>
    <w:rsid w:val="46010103"/>
    <w:rsid w:val="4606415C"/>
    <w:rsid w:val="460F365D"/>
    <w:rsid w:val="4612589E"/>
    <w:rsid w:val="461B4B88"/>
    <w:rsid w:val="462861D6"/>
    <w:rsid w:val="46393DD0"/>
    <w:rsid w:val="46460026"/>
    <w:rsid w:val="464C33C7"/>
    <w:rsid w:val="46547588"/>
    <w:rsid w:val="46861A2B"/>
    <w:rsid w:val="468D25A7"/>
    <w:rsid w:val="468E7800"/>
    <w:rsid w:val="46935044"/>
    <w:rsid w:val="46A1326E"/>
    <w:rsid w:val="46A2703C"/>
    <w:rsid w:val="46AD29A2"/>
    <w:rsid w:val="46AD7BE3"/>
    <w:rsid w:val="46C07B71"/>
    <w:rsid w:val="46C47231"/>
    <w:rsid w:val="46C97019"/>
    <w:rsid w:val="46D11B8F"/>
    <w:rsid w:val="46D202C6"/>
    <w:rsid w:val="46E2491C"/>
    <w:rsid w:val="46E77F48"/>
    <w:rsid w:val="46EA7630"/>
    <w:rsid w:val="46EB4D4C"/>
    <w:rsid w:val="46F0402F"/>
    <w:rsid w:val="46F96F65"/>
    <w:rsid w:val="47005024"/>
    <w:rsid w:val="470401D6"/>
    <w:rsid w:val="470A674E"/>
    <w:rsid w:val="470E2853"/>
    <w:rsid w:val="47155653"/>
    <w:rsid w:val="47522E07"/>
    <w:rsid w:val="47690EAD"/>
    <w:rsid w:val="476A091A"/>
    <w:rsid w:val="476C1FD1"/>
    <w:rsid w:val="477A102B"/>
    <w:rsid w:val="477C3C9F"/>
    <w:rsid w:val="47835FD1"/>
    <w:rsid w:val="47921058"/>
    <w:rsid w:val="47980643"/>
    <w:rsid w:val="479F012A"/>
    <w:rsid w:val="47AC64AE"/>
    <w:rsid w:val="47AE2329"/>
    <w:rsid w:val="47BA20DB"/>
    <w:rsid w:val="47CD4EBC"/>
    <w:rsid w:val="47D34EEE"/>
    <w:rsid w:val="47D67760"/>
    <w:rsid w:val="47DC4C30"/>
    <w:rsid w:val="48002186"/>
    <w:rsid w:val="4813478A"/>
    <w:rsid w:val="4814305E"/>
    <w:rsid w:val="48220C0B"/>
    <w:rsid w:val="48290CA5"/>
    <w:rsid w:val="48330D0B"/>
    <w:rsid w:val="4836637D"/>
    <w:rsid w:val="4844010E"/>
    <w:rsid w:val="484D70C0"/>
    <w:rsid w:val="484F7F37"/>
    <w:rsid w:val="48580FC2"/>
    <w:rsid w:val="48586A3A"/>
    <w:rsid w:val="485D436D"/>
    <w:rsid w:val="48620B89"/>
    <w:rsid w:val="48661300"/>
    <w:rsid w:val="4866681E"/>
    <w:rsid w:val="486674A3"/>
    <w:rsid w:val="486D67CD"/>
    <w:rsid w:val="486D7B00"/>
    <w:rsid w:val="48803A0C"/>
    <w:rsid w:val="48834488"/>
    <w:rsid w:val="48874444"/>
    <w:rsid w:val="488E7F90"/>
    <w:rsid w:val="48931C83"/>
    <w:rsid w:val="48951164"/>
    <w:rsid w:val="4896216F"/>
    <w:rsid w:val="48963AE2"/>
    <w:rsid w:val="48A34403"/>
    <w:rsid w:val="48B61005"/>
    <w:rsid w:val="48B629D0"/>
    <w:rsid w:val="48B65743"/>
    <w:rsid w:val="48B97EB1"/>
    <w:rsid w:val="48BA70C7"/>
    <w:rsid w:val="48C87C34"/>
    <w:rsid w:val="48D045E3"/>
    <w:rsid w:val="48D16CA0"/>
    <w:rsid w:val="48D5717B"/>
    <w:rsid w:val="48D872F2"/>
    <w:rsid w:val="48DD7098"/>
    <w:rsid w:val="48E14356"/>
    <w:rsid w:val="48E41E4A"/>
    <w:rsid w:val="48E53380"/>
    <w:rsid w:val="48E65A8C"/>
    <w:rsid w:val="48E873E2"/>
    <w:rsid w:val="48EB3D0A"/>
    <w:rsid w:val="48EB46B7"/>
    <w:rsid w:val="48EB5F33"/>
    <w:rsid w:val="48EC0DCC"/>
    <w:rsid w:val="48ED21B1"/>
    <w:rsid w:val="48F56D96"/>
    <w:rsid w:val="48FB5A48"/>
    <w:rsid w:val="490D334D"/>
    <w:rsid w:val="49156D12"/>
    <w:rsid w:val="491E61B4"/>
    <w:rsid w:val="492A3205"/>
    <w:rsid w:val="49341C2B"/>
    <w:rsid w:val="49346CF1"/>
    <w:rsid w:val="493F4B5F"/>
    <w:rsid w:val="494A309B"/>
    <w:rsid w:val="494B3250"/>
    <w:rsid w:val="494C57CF"/>
    <w:rsid w:val="494D16C1"/>
    <w:rsid w:val="494D16F6"/>
    <w:rsid w:val="4959460B"/>
    <w:rsid w:val="497A0E57"/>
    <w:rsid w:val="497D24AA"/>
    <w:rsid w:val="497D66E9"/>
    <w:rsid w:val="49893963"/>
    <w:rsid w:val="49C67AC5"/>
    <w:rsid w:val="49CA7E3C"/>
    <w:rsid w:val="49D9493E"/>
    <w:rsid w:val="49E05DCB"/>
    <w:rsid w:val="49E636A0"/>
    <w:rsid w:val="49F50CB4"/>
    <w:rsid w:val="49FD48CD"/>
    <w:rsid w:val="4A0028F7"/>
    <w:rsid w:val="4A087489"/>
    <w:rsid w:val="4A282621"/>
    <w:rsid w:val="4A2B1F5C"/>
    <w:rsid w:val="4A2B4DC5"/>
    <w:rsid w:val="4A487627"/>
    <w:rsid w:val="4A512EBB"/>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143C81"/>
    <w:rsid w:val="4B151831"/>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AB188E"/>
    <w:rsid w:val="4BB340E6"/>
    <w:rsid w:val="4BC004F6"/>
    <w:rsid w:val="4BCD4308"/>
    <w:rsid w:val="4BD732D2"/>
    <w:rsid w:val="4BE43D64"/>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5527B"/>
    <w:rsid w:val="4D066A1E"/>
    <w:rsid w:val="4D111DEA"/>
    <w:rsid w:val="4D15653E"/>
    <w:rsid w:val="4D1A17B3"/>
    <w:rsid w:val="4D1F2E52"/>
    <w:rsid w:val="4D3044C7"/>
    <w:rsid w:val="4D361251"/>
    <w:rsid w:val="4D44774F"/>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18C1"/>
    <w:rsid w:val="4DB33EED"/>
    <w:rsid w:val="4DC3357A"/>
    <w:rsid w:val="4DD806AE"/>
    <w:rsid w:val="4DE43F03"/>
    <w:rsid w:val="4DEB5692"/>
    <w:rsid w:val="4DF17B7F"/>
    <w:rsid w:val="4DF62A72"/>
    <w:rsid w:val="4DF71177"/>
    <w:rsid w:val="4E015F8B"/>
    <w:rsid w:val="4E0A7662"/>
    <w:rsid w:val="4E0B1731"/>
    <w:rsid w:val="4E15259A"/>
    <w:rsid w:val="4E163912"/>
    <w:rsid w:val="4E192019"/>
    <w:rsid w:val="4E1C4AEB"/>
    <w:rsid w:val="4E283BF9"/>
    <w:rsid w:val="4E2F0A69"/>
    <w:rsid w:val="4E3F2E3C"/>
    <w:rsid w:val="4E4D1D53"/>
    <w:rsid w:val="4E5D1F66"/>
    <w:rsid w:val="4E6A46CC"/>
    <w:rsid w:val="4E722FB7"/>
    <w:rsid w:val="4E7A2E8A"/>
    <w:rsid w:val="4E9373C0"/>
    <w:rsid w:val="4E9F3710"/>
    <w:rsid w:val="4EA6083B"/>
    <w:rsid w:val="4EAB3C3E"/>
    <w:rsid w:val="4EAB62F0"/>
    <w:rsid w:val="4EBB6FFE"/>
    <w:rsid w:val="4EC56069"/>
    <w:rsid w:val="4ECB5EDE"/>
    <w:rsid w:val="4ED75DAE"/>
    <w:rsid w:val="4EE105D0"/>
    <w:rsid w:val="4EE7009D"/>
    <w:rsid w:val="4EFA5D6D"/>
    <w:rsid w:val="4EFB4E8F"/>
    <w:rsid w:val="4F074A59"/>
    <w:rsid w:val="4F08177C"/>
    <w:rsid w:val="4F0839B5"/>
    <w:rsid w:val="4F092C81"/>
    <w:rsid w:val="4F0D4F13"/>
    <w:rsid w:val="4F0F1364"/>
    <w:rsid w:val="4F191F1A"/>
    <w:rsid w:val="4F1C5302"/>
    <w:rsid w:val="4F2C1A89"/>
    <w:rsid w:val="4F2D09CA"/>
    <w:rsid w:val="4F2F54B5"/>
    <w:rsid w:val="4F343CA3"/>
    <w:rsid w:val="4F386432"/>
    <w:rsid w:val="4F3D05DF"/>
    <w:rsid w:val="4F3F4604"/>
    <w:rsid w:val="4F445653"/>
    <w:rsid w:val="4F4F0440"/>
    <w:rsid w:val="4F537A4C"/>
    <w:rsid w:val="4F5D0CE7"/>
    <w:rsid w:val="4F5F1378"/>
    <w:rsid w:val="4F632DB7"/>
    <w:rsid w:val="4F6828F3"/>
    <w:rsid w:val="4F745890"/>
    <w:rsid w:val="4F7702EF"/>
    <w:rsid w:val="4F7B55C1"/>
    <w:rsid w:val="4F7B6C2F"/>
    <w:rsid w:val="4F882033"/>
    <w:rsid w:val="4F967CF0"/>
    <w:rsid w:val="4FB140AE"/>
    <w:rsid w:val="4FB76356"/>
    <w:rsid w:val="4FBB7FFC"/>
    <w:rsid w:val="4FCC1960"/>
    <w:rsid w:val="4FD405AC"/>
    <w:rsid w:val="4FE32B2F"/>
    <w:rsid w:val="4FEA2E06"/>
    <w:rsid w:val="4FEF5594"/>
    <w:rsid w:val="4FF52742"/>
    <w:rsid w:val="4FF6565E"/>
    <w:rsid w:val="500A2552"/>
    <w:rsid w:val="500C55E9"/>
    <w:rsid w:val="50131C60"/>
    <w:rsid w:val="501723E6"/>
    <w:rsid w:val="501D6123"/>
    <w:rsid w:val="50296286"/>
    <w:rsid w:val="502D02A0"/>
    <w:rsid w:val="502F437B"/>
    <w:rsid w:val="50396587"/>
    <w:rsid w:val="503B1382"/>
    <w:rsid w:val="50486E0E"/>
    <w:rsid w:val="506F36AA"/>
    <w:rsid w:val="5075104B"/>
    <w:rsid w:val="5075687D"/>
    <w:rsid w:val="507852DF"/>
    <w:rsid w:val="50832AB7"/>
    <w:rsid w:val="50866AC3"/>
    <w:rsid w:val="508A07B8"/>
    <w:rsid w:val="50900126"/>
    <w:rsid w:val="50980B0B"/>
    <w:rsid w:val="509C1C73"/>
    <w:rsid w:val="509C7C29"/>
    <w:rsid w:val="50A2127B"/>
    <w:rsid w:val="50A32FC8"/>
    <w:rsid w:val="50A76C88"/>
    <w:rsid w:val="50B614C2"/>
    <w:rsid w:val="50C34225"/>
    <w:rsid w:val="50C74476"/>
    <w:rsid w:val="50E0038F"/>
    <w:rsid w:val="50E41082"/>
    <w:rsid w:val="50EF4645"/>
    <w:rsid w:val="50F14C04"/>
    <w:rsid w:val="50F66EF4"/>
    <w:rsid w:val="50F96C4E"/>
    <w:rsid w:val="50FA20DD"/>
    <w:rsid w:val="50FA2CE9"/>
    <w:rsid w:val="5104147F"/>
    <w:rsid w:val="51075C61"/>
    <w:rsid w:val="511835E5"/>
    <w:rsid w:val="511E1CC8"/>
    <w:rsid w:val="51233865"/>
    <w:rsid w:val="51240121"/>
    <w:rsid w:val="51282BDC"/>
    <w:rsid w:val="51293D18"/>
    <w:rsid w:val="512C327D"/>
    <w:rsid w:val="513476DA"/>
    <w:rsid w:val="51352286"/>
    <w:rsid w:val="514329D6"/>
    <w:rsid w:val="51544C18"/>
    <w:rsid w:val="51663591"/>
    <w:rsid w:val="516F7CB2"/>
    <w:rsid w:val="5174417A"/>
    <w:rsid w:val="517B0723"/>
    <w:rsid w:val="518D3959"/>
    <w:rsid w:val="51904C47"/>
    <w:rsid w:val="51A5718F"/>
    <w:rsid w:val="51AA5EE3"/>
    <w:rsid w:val="51AC042E"/>
    <w:rsid w:val="51AE2C09"/>
    <w:rsid w:val="51B2002A"/>
    <w:rsid w:val="51B4034E"/>
    <w:rsid w:val="51B67C18"/>
    <w:rsid w:val="51BB2F03"/>
    <w:rsid w:val="51C16B27"/>
    <w:rsid w:val="51DD07C4"/>
    <w:rsid w:val="51DF5E42"/>
    <w:rsid w:val="51E92702"/>
    <w:rsid w:val="51EA5164"/>
    <w:rsid w:val="51EE1CAB"/>
    <w:rsid w:val="51EE1CAE"/>
    <w:rsid w:val="51EF7CE3"/>
    <w:rsid w:val="52056978"/>
    <w:rsid w:val="520D1F5C"/>
    <w:rsid w:val="52111795"/>
    <w:rsid w:val="52186D18"/>
    <w:rsid w:val="521B0709"/>
    <w:rsid w:val="521F5463"/>
    <w:rsid w:val="522C3822"/>
    <w:rsid w:val="52302010"/>
    <w:rsid w:val="52303B2F"/>
    <w:rsid w:val="52307B26"/>
    <w:rsid w:val="523503EF"/>
    <w:rsid w:val="523A7964"/>
    <w:rsid w:val="523B5943"/>
    <w:rsid w:val="524563D8"/>
    <w:rsid w:val="524B64AA"/>
    <w:rsid w:val="52502DC9"/>
    <w:rsid w:val="52547186"/>
    <w:rsid w:val="52605D7B"/>
    <w:rsid w:val="526B2DEC"/>
    <w:rsid w:val="526B5EEE"/>
    <w:rsid w:val="527D67A7"/>
    <w:rsid w:val="52815B74"/>
    <w:rsid w:val="529C36FF"/>
    <w:rsid w:val="529C775D"/>
    <w:rsid w:val="52AF3F38"/>
    <w:rsid w:val="52B33948"/>
    <w:rsid w:val="52B55367"/>
    <w:rsid w:val="52C93BBE"/>
    <w:rsid w:val="52D05D9C"/>
    <w:rsid w:val="52DA316E"/>
    <w:rsid w:val="52DF5A77"/>
    <w:rsid w:val="52E2402D"/>
    <w:rsid w:val="52FC7BBE"/>
    <w:rsid w:val="530715FB"/>
    <w:rsid w:val="5315780A"/>
    <w:rsid w:val="5325190A"/>
    <w:rsid w:val="53297E57"/>
    <w:rsid w:val="5330710D"/>
    <w:rsid w:val="533F38E7"/>
    <w:rsid w:val="53420089"/>
    <w:rsid w:val="534C79BB"/>
    <w:rsid w:val="53590193"/>
    <w:rsid w:val="535D1AC0"/>
    <w:rsid w:val="537525DB"/>
    <w:rsid w:val="537D23DD"/>
    <w:rsid w:val="5384469F"/>
    <w:rsid w:val="53871AB1"/>
    <w:rsid w:val="538D6A67"/>
    <w:rsid w:val="539802F4"/>
    <w:rsid w:val="539D2ACB"/>
    <w:rsid w:val="53A64776"/>
    <w:rsid w:val="53A74C89"/>
    <w:rsid w:val="53AC48CA"/>
    <w:rsid w:val="53C12731"/>
    <w:rsid w:val="53CF5237"/>
    <w:rsid w:val="53D20731"/>
    <w:rsid w:val="53D224D9"/>
    <w:rsid w:val="53D8046A"/>
    <w:rsid w:val="53DA6ABC"/>
    <w:rsid w:val="53E27E4A"/>
    <w:rsid w:val="53E355B6"/>
    <w:rsid w:val="53E355BF"/>
    <w:rsid w:val="53E8282F"/>
    <w:rsid w:val="53E857A6"/>
    <w:rsid w:val="53F86054"/>
    <w:rsid w:val="53FE7F0D"/>
    <w:rsid w:val="54084368"/>
    <w:rsid w:val="540E3ABB"/>
    <w:rsid w:val="54174D5D"/>
    <w:rsid w:val="541762D8"/>
    <w:rsid w:val="5424499E"/>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B965E5"/>
    <w:rsid w:val="54E462F6"/>
    <w:rsid w:val="54F54AD8"/>
    <w:rsid w:val="550078CF"/>
    <w:rsid w:val="550875D8"/>
    <w:rsid w:val="550C5474"/>
    <w:rsid w:val="55100448"/>
    <w:rsid w:val="55201E14"/>
    <w:rsid w:val="55230BAB"/>
    <w:rsid w:val="55294FFC"/>
    <w:rsid w:val="552C5FEB"/>
    <w:rsid w:val="553B448E"/>
    <w:rsid w:val="553D1974"/>
    <w:rsid w:val="554057BF"/>
    <w:rsid w:val="554376C8"/>
    <w:rsid w:val="554878C6"/>
    <w:rsid w:val="554B2788"/>
    <w:rsid w:val="554E0A19"/>
    <w:rsid w:val="554F0D7B"/>
    <w:rsid w:val="5552265F"/>
    <w:rsid w:val="55564942"/>
    <w:rsid w:val="55605D8B"/>
    <w:rsid w:val="55656CD2"/>
    <w:rsid w:val="556A2415"/>
    <w:rsid w:val="557263B3"/>
    <w:rsid w:val="5575623A"/>
    <w:rsid w:val="55784D6B"/>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62F64"/>
    <w:rsid w:val="55BD4F0C"/>
    <w:rsid w:val="55D01BC1"/>
    <w:rsid w:val="55D52C8E"/>
    <w:rsid w:val="55DF7E1D"/>
    <w:rsid w:val="55E32F66"/>
    <w:rsid w:val="55FA150B"/>
    <w:rsid w:val="55FF3C96"/>
    <w:rsid w:val="560010ED"/>
    <w:rsid w:val="560A1E7A"/>
    <w:rsid w:val="560C20A5"/>
    <w:rsid w:val="562C2FA6"/>
    <w:rsid w:val="562E13B9"/>
    <w:rsid w:val="56312196"/>
    <w:rsid w:val="56353E08"/>
    <w:rsid w:val="56362C3B"/>
    <w:rsid w:val="56366612"/>
    <w:rsid w:val="564B4F61"/>
    <w:rsid w:val="564C6A6F"/>
    <w:rsid w:val="56506BA6"/>
    <w:rsid w:val="565D32EE"/>
    <w:rsid w:val="56665989"/>
    <w:rsid w:val="56672097"/>
    <w:rsid w:val="56682B4C"/>
    <w:rsid w:val="5668633D"/>
    <w:rsid w:val="566D65BC"/>
    <w:rsid w:val="56707213"/>
    <w:rsid w:val="5677517B"/>
    <w:rsid w:val="567C1622"/>
    <w:rsid w:val="56882964"/>
    <w:rsid w:val="568E5C2E"/>
    <w:rsid w:val="56946918"/>
    <w:rsid w:val="569D0DCD"/>
    <w:rsid w:val="56A05E75"/>
    <w:rsid w:val="56A0728A"/>
    <w:rsid w:val="56BD4880"/>
    <w:rsid w:val="56BF385F"/>
    <w:rsid w:val="56C210AA"/>
    <w:rsid w:val="56C81FCD"/>
    <w:rsid w:val="56D13A0A"/>
    <w:rsid w:val="56D20120"/>
    <w:rsid w:val="56D20AA8"/>
    <w:rsid w:val="56D405CC"/>
    <w:rsid w:val="56D57F50"/>
    <w:rsid w:val="56E06ED2"/>
    <w:rsid w:val="56E65453"/>
    <w:rsid w:val="56E83278"/>
    <w:rsid w:val="56EC6164"/>
    <w:rsid w:val="57023C45"/>
    <w:rsid w:val="57110C6D"/>
    <w:rsid w:val="5713500C"/>
    <w:rsid w:val="5720074D"/>
    <w:rsid w:val="57243036"/>
    <w:rsid w:val="57256BEE"/>
    <w:rsid w:val="57257327"/>
    <w:rsid w:val="572D466B"/>
    <w:rsid w:val="573336BE"/>
    <w:rsid w:val="573A73EA"/>
    <w:rsid w:val="573B06C9"/>
    <w:rsid w:val="57416BE8"/>
    <w:rsid w:val="5743739F"/>
    <w:rsid w:val="574D7BB7"/>
    <w:rsid w:val="575D3CB3"/>
    <w:rsid w:val="576D070C"/>
    <w:rsid w:val="577B6220"/>
    <w:rsid w:val="577C648F"/>
    <w:rsid w:val="578042DA"/>
    <w:rsid w:val="57900933"/>
    <w:rsid w:val="579E3D52"/>
    <w:rsid w:val="57A90039"/>
    <w:rsid w:val="57B27112"/>
    <w:rsid w:val="57B44AAC"/>
    <w:rsid w:val="57B738E0"/>
    <w:rsid w:val="57B90017"/>
    <w:rsid w:val="57BA6D33"/>
    <w:rsid w:val="57BC7E22"/>
    <w:rsid w:val="57C80109"/>
    <w:rsid w:val="57CA6B58"/>
    <w:rsid w:val="57CA7549"/>
    <w:rsid w:val="57CD0996"/>
    <w:rsid w:val="57CD3D5C"/>
    <w:rsid w:val="57D3757D"/>
    <w:rsid w:val="57DD4CF2"/>
    <w:rsid w:val="57E85B07"/>
    <w:rsid w:val="57FA4253"/>
    <w:rsid w:val="57FF37AB"/>
    <w:rsid w:val="580B2FC3"/>
    <w:rsid w:val="581663A7"/>
    <w:rsid w:val="5824647D"/>
    <w:rsid w:val="5826612F"/>
    <w:rsid w:val="582A56E5"/>
    <w:rsid w:val="583339EA"/>
    <w:rsid w:val="58415B46"/>
    <w:rsid w:val="5847410F"/>
    <w:rsid w:val="584E4808"/>
    <w:rsid w:val="585144AA"/>
    <w:rsid w:val="58567D64"/>
    <w:rsid w:val="58651B4D"/>
    <w:rsid w:val="586578BF"/>
    <w:rsid w:val="58730A21"/>
    <w:rsid w:val="587A70C6"/>
    <w:rsid w:val="588D7EB4"/>
    <w:rsid w:val="58945E21"/>
    <w:rsid w:val="589947D3"/>
    <w:rsid w:val="58A338C2"/>
    <w:rsid w:val="58A75020"/>
    <w:rsid w:val="58BA3264"/>
    <w:rsid w:val="58C0349D"/>
    <w:rsid w:val="58C94687"/>
    <w:rsid w:val="58DE49F6"/>
    <w:rsid w:val="58E50BA6"/>
    <w:rsid w:val="58F7247A"/>
    <w:rsid w:val="5902723E"/>
    <w:rsid w:val="590413BD"/>
    <w:rsid w:val="5919795C"/>
    <w:rsid w:val="59232537"/>
    <w:rsid w:val="592F245D"/>
    <w:rsid w:val="593D3B58"/>
    <w:rsid w:val="59440619"/>
    <w:rsid w:val="594720D1"/>
    <w:rsid w:val="594C7A7A"/>
    <w:rsid w:val="5951496F"/>
    <w:rsid w:val="595661AD"/>
    <w:rsid w:val="59570C35"/>
    <w:rsid w:val="596326A9"/>
    <w:rsid w:val="59700257"/>
    <w:rsid w:val="59724E0E"/>
    <w:rsid w:val="597252E0"/>
    <w:rsid w:val="597518E5"/>
    <w:rsid w:val="597D3815"/>
    <w:rsid w:val="597E59B3"/>
    <w:rsid w:val="59830A4E"/>
    <w:rsid w:val="598F16C1"/>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2E2896"/>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B0F55"/>
    <w:rsid w:val="5AAE1E87"/>
    <w:rsid w:val="5AC2048D"/>
    <w:rsid w:val="5ACC337C"/>
    <w:rsid w:val="5ACF442D"/>
    <w:rsid w:val="5AD87740"/>
    <w:rsid w:val="5ADB4B04"/>
    <w:rsid w:val="5AE67D49"/>
    <w:rsid w:val="5AEC2ADA"/>
    <w:rsid w:val="5AED24DD"/>
    <w:rsid w:val="5AEE4895"/>
    <w:rsid w:val="5AF2382A"/>
    <w:rsid w:val="5AF24671"/>
    <w:rsid w:val="5AF43314"/>
    <w:rsid w:val="5AF900EE"/>
    <w:rsid w:val="5B0604A3"/>
    <w:rsid w:val="5B1223E2"/>
    <w:rsid w:val="5B162801"/>
    <w:rsid w:val="5B247BFB"/>
    <w:rsid w:val="5B267026"/>
    <w:rsid w:val="5B344D84"/>
    <w:rsid w:val="5B3A1957"/>
    <w:rsid w:val="5B4B65B6"/>
    <w:rsid w:val="5B565B4F"/>
    <w:rsid w:val="5B585CC5"/>
    <w:rsid w:val="5B5911EA"/>
    <w:rsid w:val="5B5B6C7F"/>
    <w:rsid w:val="5B5F167F"/>
    <w:rsid w:val="5B73596C"/>
    <w:rsid w:val="5B883628"/>
    <w:rsid w:val="5B8E3166"/>
    <w:rsid w:val="5B903475"/>
    <w:rsid w:val="5B982E7E"/>
    <w:rsid w:val="5B9B660C"/>
    <w:rsid w:val="5BD1505A"/>
    <w:rsid w:val="5BD92BA9"/>
    <w:rsid w:val="5BDD29C3"/>
    <w:rsid w:val="5BDE6F14"/>
    <w:rsid w:val="5BEB24FD"/>
    <w:rsid w:val="5BF77212"/>
    <w:rsid w:val="5C010491"/>
    <w:rsid w:val="5C0C42E8"/>
    <w:rsid w:val="5C1202F0"/>
    <w:rsid w:val="5C15137F"/>
    <w:rsid w:val="5C17089D"/>
    <w:rsid w:val="5C18679F"/>
    <w:rsid w:val="5C1E0DBA"/>
    <w:rsid w:val="5C1E4833"/>
    <w:rsid w:val="5C3768BF"/>
    <w:rsid w:val="5C3B3289"/>
    <w:rsid w:val="5C4A6360"/>
    <w:rsid w:val="5C5B39D0"/>
    <w:rsid w:val="5C646D40"/>
    <w:rsid w:val="5C752E46"/>
    <w:rsid w:val="5C784ED3"/>
    <w:rsid w:val="5C7D4D78"/>
    <w:rsid w:val="5C8046F6"/>
    <w:rsid w:val="5C812DA3"/>
    <w:rsid w:val="5C81304B"/>
    <w:rsid w:val="5C851DC2"/>
    <w:rsid w:val="5C857E5A"/>
    <w:rsid w:val="5C8A6D14"/>
    <w:rsid w:val="5C916F38"/>
    <w:rsid w:val="5CA52F08"/>
    <w:rsid w:val="5CA55250"/>
    <w:rsid w:val="5CB54A10"/>
    <w:rsid w:val="5CB7487F"/>
    <w:rsid w:val="5CBA2E24"/>
    <w:rsid w:val="5CBE4851"/>
    <w:rsid w:val="5CBF7942"/>
    <w:rsid w:val="5CD80A4C"/>
    <w:rsid w:val="5CDC65B1"/>
    <w:rsid w:val="5CEA50E0"/>
    <w:rsid w:val="5CF22A1A"/>
    <w:rsid w:val="5CF3304A"/>
    <w:rsid w:val="5CF674F8"/>
    <w:rsid w:val="5CF97C9E"/>
    <w:rsid w:val="5D0608BF"/>
    <w:rsid w:val="5D0C1414"/>
    <w:rsid w:val="5D147912"/>
    <w:rsid w:val="5D1A687B"/>
    <w:rsid w:val="5D264FF5"/>
    <w:rsid w:val="5D27538E"/>
    <w:rsid w:val="5D2A7616"/>
    <w:rsid w:val="5D60610D"/>
    <w:rsid w:val="5D677934"/>
    <w:rsid w:val="5D6C196C"/>
    <w:rsid w:val="5D701A55"/>
    <w:rsid w:val="5D747EB4"/>
    <w:rsid w:val="5D760E05"/>
    <w:rsid w:val="5D800E7C"/>
    <w:rsid w:val="5D827F51"/>
    <w:rsid w:val="5D862A93"/>
    <w:rsid w:val="5D867492"/>
    <w:rsid w:val="5D8F3E02"/>
    <w:rsid w:val="5D9126BE"/>
    <w:rsid w:val="5DAD416B"/>
    <w:rsid w:val="5DAD66F9"/>
    <w:rsid w:val="5DAF334A"/>
    <w:rsid w:val="5DB40934"/>
    <w:rsid w:val="5DB95864"/>
    <w:rsid w:val="5DBD73CF"/>
    <w:rsid w:val="5DCE03FF"/>
    <w:rsid w:val="5DD07EF8"/>
    <w:rsid w:val="5DD15393"/>
    <w:rsid w:val="5DD67626"/>
    <w:rsid w:val="5DDB312E"/>
    <w:rsid w:val="5DE93770"/>
    <w:rsid w:val="5DED24EE"/>
    <w:rsid w:val="5E087EA2"/>
    <w:rsid w:val="5E0D67C6"/>
    <w:rsid w:val="5E2775CA"/>
    <w:rsid w:val="5E294315"/>
    <w:rsid w:val="5E295856"/>
    <w:rsid w:val="5E2D3328"/>
    <w:rsid w:val="5E330F25"/>
    <w:rsid w:val="5E35132D"/>
    <w:rsid w:val="5E49038C"/>
    <w:rsid w:val="5E4A1687"/>
    <w:rsid w:val="5E4E124A"/>
    <w:rsid w:val="5E591E30"/>
    <w:rsid w:val="5E6E0EC2"/>
    <w:rsid w:val="5E6E2F82"/>
    <w:rsid w:val="5E785870"/>
    <w:rsid w:val="5E841F6A"/>
    <w:rsid w:val="5E860060"/>
    <w:rsid w:val="5E8732C3"/>
    <w:rsid w:val="5EA5785A"/>
    <w:rsid w:val="5EB0331F"/>
    <w:rsid w:val="5EB75779"/>
    <w:rsid w:val="5EB9485D"/>
    <w:rsid w:val="5EC030D5"/>
    <w:rsid w:val="5EC824A5"/>
    <w:rsid w:val="5ECD663E"/>
    <w:rsid w:val="5ED358B4"/>
    <w:rsid w:val="5ED744EA"/>
    <w:rsid w:val="5EDC1150"/>
    <w:rsid w:val="5EE24C8F"/>
    <w:rsid w:val="5EE509A6"/>
    <w:rsid w:val="5EE509E9"/>
    <w:rsid w:val="5EF068A7"/>
    <w:rsid w:val="5EF23736"/>
    <w:rsid w:val="5F054905"/>
    <w:rsid w:val="5F127126"/>
    <w:rsid w:val="5F133281"/>
    <w:rsid w:val="5F1571B0"/>
    <w:rsid w:val="5F163472"/>
    <w:rsid w:val="5F196D78"/>
    <w:rsid w:val="5F1E52A3"/>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D21CA0"/>
    <w:rsid w:val="5FD81733"/>
    <w:rsid w:val="5FDE2E8C"/>
    <w:rsid w:val="5FE32071"/>
    <w:rsid w:val="5FED15CB"/>
    <w:rsid w:val="600536C9"/>
    <w:rsid w:val="600B3F28"/>
    <w:rsid w:val="600B6F9E"/>
    <w:rsid w:val="600F0E40"/>
    <w:rsid w:val="60116D2F"/>
    <w:rsid w:val="60204443"/>
    <w:rsid w:val="602A71DA"/>
    <w:rsid w:val="60377C74"/>
    <w:rsid w:val="60481217"/>
    <w:rsid w:val="605806CA"/>
    <w:rsid w:val="606D316C"/>
    <w:rsid w:val="6075208D"/>
    <w:rsid w:val="60802E35"/>
    <w:rsid w:val="60811FD8"/>
    <w:rsid w:val="60AB25C5"/>
    <w:rsid w:val="60AF1513"/>
    <w:rsid w:val="60B011C0"/>
    <w:rsid w:val="60B17A56"/>
    <w:rsid w:val="60BB7B96"/>
    <w:rsid w:val="60BD335C"/>
    <w:rsid w:val="60CC596E"/>
    <w:rsid w:val="60D41389"/>
    <w:rsid w:val="60DC22DF"/>
    <w:rsid w:val="60E440E4"/>
    <w:rsid w:val="60E83E9A"/>
    <w:rsid w:val="60EE2491"/>
    <w:rsid w:val="60FA79C1"/>
    <w:rsid w:val="61164D5D"/>
    <w:rsid w:val="6117553F"/>
    <w:rsid w:val="611F628F"/>
    <w:rsid w:val="61213386"/>
    <w:rsid w:val="61292193"/>
    <w:rsid w:val="612A5441"/>
    <w:rsid w:val="612D4D44"/>
    <w:rsid w:val="61362C68"/>
    <w:rsid w:val="613971FF"/>
    <w:rsid w:val="613A4317"/>
    <w:rsid w:val="613A49B3"/>
    <w:rsid w:val="613C7AC2"/>
    <w:rsid w:val="613F7BA1"/>
    <w:rsid w:val="61430D98"/>
    <w:rsid w:val="61437A39"/>
    <w:rsid w:val="6152509D"/>
    <w:rsid w:val="615A6011"/>
    <w:rsid w:val="61624B79"/>
    <w:rsid w:val="617504E6"/>
    <w:rsid w:val="617812D0"/>
    <w:rsid w:val="61797EA7"/>
    <w:rsid w:val="618B5C3B"/>
    <w:rsid w:val="6194428A"/>
    <w:rsid w:val="61A20BAF"/>
    <w:rsid w:val="61A8370C"/>
    <w:rsid w:val="61AC7C3E"/>
    <w:rsid w:val="61B413CE"/>
    <w:rsid w:val="61C544D0"/>
    <w:rsid w:val="61C557FB"/>
    <w:rsid w:val="61C7429B"/>
    <w:rsid w:val="61CA71FC"/>
    <w:rsid w:val="61D12A7D"/>
    <w:rsid w:val="61DD6C29"/>
    <w:rsid w:val="61DD7269"/>
    <w:rsid w:val="61DE687D"/>
    <w:rsid w:val="61F26A42"/>
    <w:rsid w:val="61FE441C"/>
    <w:rsid w:val="61FF4DC1"/>
    <w:rsid w:val="62015914"/>
    <w:rsid w:val="621728E6"/>
    <w:rsid w:val="6224074C"/>
    <w:rsid w:val="62297593"/>
    <w:rsid w:val="62327D52"/>
    <w:rsid w:val="623D4244"/>
    <w:rsid w:val="62416372"/>
    <w:rsid w:val="62515E8E"/>
    <w:rsid w:val="625463BF"/>
    <w:rsid w:val="626224AE"/>
    <w:rsid w:val="62636A7F"/>
    <w:rsid w:val="62653928"/>
    <w:rsid w:val="62687C0A"/>
    <w:rsid w:val="626C5B05"/>
    <w:rsid w:val="62720BC1"/>
    <w:rsid w:val="62814FD5"/>
    <w:rsid w:val="628163C7"/>
    <w:rsid w:val="628D67FA"/>
    <w:rsid w:val="62A86E8C"/>
    <w:rsid w:val="62B014DC"/>
    <w:rsid w:val="62B917B2"/>
    <w:rsid w:val="62D408AA"/>
    <w:rsid w:val="62D736EF"/>
    <w:rsid w:val="62D9620C"/>
    <w:rsid w:val="62E42049"/>
    <w:rsid w:val="62F2073B"/>
    <w:rsid w:val="63083357"/>
    <w:rsid w:val="63095298"/>
    <w:rsid w:val="63133A2F"/>
    <w:rsid w:val="6316143A"/>
    <w:rsid w:val="63171A8A"/>
    <w:rsid w:val="63191FA4"/>
    <w:rsid w:val="631955AD"/>
    <w:rsid w:val="631D0B61"/>
    <w:rsid w:val="632A126E"/>
    <w:rsid w:val="632C3FEA"/>
    <w:rsid w:val="63353983"/>
    <w:rsid w:val="633C78BB"/>
    <w:rsid w:val="63425F59"/>
    <w:rsid w:val="634B72D9"/>
    <w:rsid w:val="634C4408"/>
    <w:rsid w:val="63505013"/>
    <w:rsid w:val="6356637E"/>
    <w:rsid w:val="63567264"/>
    <w:rsid w:val="635B50A6"/>
    <w:rsid w:val="635F3E6C"/>
    <w:rsid w:val="636645FB"/>
    <w:rsid w:val="638036F5"/>
    <w:rsid w:val="638D42C0"/>
    <w:rsid w:val="639E46E4"/>
    <w:rsid w:val="63A3208F"/>
    <w:rsid w:val="63A855E8"/>
    <w:rsid w:val="63A96D74"/>
    <w:rsid w:val="63B0726B"/>
    <w:rsid w:val="63BB1FA3"/>
    <w:rsid w:val="63C66D43"/>
    <w:rsid w:val="63D0326A"/>
    <w:rsid w:val="63D37E25"/>
    <w:rsid w:val="63DB22FB"/>
    <w:rsid w:val="63E64D4E"/>
    <w:rsid w:val="63F97AA8"/>
    <w:rsid w:val="63FA3F48"/>
    <w:rsid w:val="640004A6"/>
    <w:rsid w:val="64074D44"/>
    <w:rsid w:val="64075F2E"/>
    <w:rsid w:val="641369A5"/>
    <w:rsid w:val="64174B6B"/>
    <w:rsid w:val="641B5F92"/>
    <w:rsid w:val="6422650A"/>
    <w:rsid w:val="64235DFF"/>
    <w:rsid w:val="64390D60"/>
    <w:rsid w:val="64394F75"/>
    <w:rsid w:val="643B07D1"/>
    <w:rsid w:val="643F472E"/>
    <w:rsid w:val="644D222A"/>
    <w:rsid w:val="644E07D9"/>
    <w:rsid w:val="645719A3"/>
    <w:rsid w:val="646025F0"/>
    <w:rsid w:val="646356FB"/>
    <w:rsid w:val="64694C1B"/>
    <w:rsid w:val="646A5E54"/>
    <w:rsid w:val="6478280E"/>
    <w:rsid w:val="648116BE"/>
    <w:rsid w:val="64841500"/>
    <w:rsid w:val="64975E1D"/>
    <w:rsid w:val="64983E35"/>
    <w:rsid w:val="649B4103"/>
    <w:rsid w:val="649F1E2A"/>
    <w:rsid w:val="64A5588D"/>
    <w:rsid w:val="64A57EA9"/>
    <w:rsid w:val="64BD0DE2"/>
    <w:rsid w:val="64BD3097"/>
    <w:rsid w:val="64CE4916"/>
    <w:rsid w:val="64DD7201"/>
    <w:rsid w:val="64E21645"/>
    <w:rsid w:val="64E333A8"/>
    <w:rsid w:val="64EA733A"/>
    <w:rsid w:val="64EB1253"/>
    <w:rsid w:val="650906B2"/>
    <w:rsid w:val="650E29E3"/>
    <w:rsid w:val="65156773"/>
    <w:rsid w:val="651725E2"/>
    <w:rsid w:val="651D653F"/>
    <w:rsid w:val="651F4826"/>
    <w:rsid w:val="65381046"/>
    <w:rsid w:val="65405E19"/>
    <w:rsid w:val="654D2F79"/>
    <w:rsid w:val="65617866"/>
    <w:rsid w:val="65674578"/>
    <w:rsid w:val="6570194C"/>
    <w:rsid w:val="65741253"/>
    <w:rsid w:val="657933B4"/>
    <w:rsid w:val="657E3746"/>
    <w:rsid w:val="658629E2"/>
    <w:rsid w:val="65886C35"/>
    <w:rsid w:val="65892994"/>
    <w:rsid w:val="65AB624E"/>
    <w:rsid w:val="65AC7D2D"/>
    <w:rsid w:val="65B33A17"/>
    <w:rsid w:val="65C2452A"/>
    <w:rsid w:val="65CB6B2C"/>
    <w:rsid w:val="65CE50BB"/>
    <w:rsid w:val="65D74D65"/>
    <w:rsid w:val="65DC221B"/>
    <w:rsid w:val="65DD4A5C"/>
    <w:rsid w:val="65ED1249"/>
    <w:rsid w:val="65FE6126"/>
    <w:rsid w:val="66026916"/>
    <w:rsid w:val="66162D18"/>
    <w:rsid w:val="66196874"/>
    <w:rsid w:val="66196EAD"/>
    <w:rsid w:val="661D6420"/>
    <w:rsid w:val="66223586"/>
    <w:rsid w:val="66242FDE"/>
    <w:rsid w:val="66322AB5"/>
    <w:rsid w:val="663B0316"/>
    <w:rsid w:val="66410BE9"/>
    <w:rsid w:val="664956ED"/>
    <w:rsid w:val="66647507"/>
    <w:rsid w:val="667075DA"/>
    <w:rsid w:val="667E00F5"/>
    <w:rsid w:val="668652F7"/>
    <w:rsid w:val="668C0ACD"/>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9B3B82"/>
    <w:rsid w:val="67A70974"/>
    <w:rsid w:val="67AC4122"/>
    <w:rsid w:val="67BC5B96"/>
    <w:rsid w:val="67BF0592"/>
    <w:rsid w:val="67C1272F"/>
    <w:rsid w:val="67C3489F"/>
    <w:rsid w:val="67CF5883"/>
    <w:rsid w:val="67D2542E"/>
    <w:rsid w:val="67D72703"/>
    <w:rsid w:val="67D82FEC"/>
    <w:rsid w:val="67DE25EB"/>
    <w:rsid w:val="67E36CD9"/>
    <w:rsid w:val="67EE4071"/>
    <w:rsid w:val="67F07B78"/>
    <w:rsid w:val="67F4170F"/>
    <w:rsid w:val="67F750D2"/>
    <w:rsid w:val="67FA0A23"/>
    <w:rsid w:val="67FF6FE0"/>
    <w:rsid w:val="68066D59"/>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73C88"/>
    <w:rsid w:val="68C941A0"/>
    <w:rsid w:val="68EE5FF6"/>
    <w:rsid w:val="68F11B06"/>
    <w:rsid w:val="68F12C0F"/>
    <w:rsid w:val="68F13CC7"/>
    <w:rsid w:val="68F3235D"/>
    <w:rsid w:val="68F62489"/>
    <w:rsid w:val="68F91A46"/>
    <w:rsid w:val="69036D2A"/>
    <w:rsid w:val="69044E32"/>
    <w:rsid w:val="69060615"/>
    <w:rsid w:val="690A435D"/>
    <w:rsid w:val="691F45C8"/>
    <w:rsid w:val="692E19FD"/>
    <w:rsid w:val="6949404D"/>
    <w:rsid w:val="695A62A9"/>
    <w:rsid w:val="696607B4"/>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11BF9"/>
    <w:rsid w:val="6A063C23"/>
    <w:rsid w:val="6A0B175E"/>
    <w:rsid w:val="6A0B1C3A"/>
    <w:rsid w:val="6A1874E7"/>
    <w:rsid w:val="6A282B66"/>
    <w:rsid w:val="6A2C7939"/>
    <w:rsid w:val="6A2F393C"/>
    <w:rsid w:val="6A2F4319"/>
    <w:rsid w:val="6A527D31"/>
    <w:rsid w:val="6A5705B3"/>
    <w:rsid w:val="6A6E1B96"/>
    <w:rsid w:val="6A732C43"/>
    <w:rsid w:val="6A920AE0"/>
    <w:rsid w:val="6AA3406E"/>
    <w:rsid w:val="6AB94056"/>
    <w:rsid w:val="6ABB1170"/>
    <w:rsid w:val="6ABB3B40"/>
    <w:rsid w:val="6AC26FA3"/>
    <w:rsid w:val="6AC93F8C"/>
    <w:rsid w:val="6AD03B37"/>
    <w:rsid w:val="6AD1121C"/>
    <w:rsid w:val="6AD47FAC"/>
    <w:rsid w:val="6ADB2ADD"/>
    <w:rsid w:val="6ADC3B42"/>
    <w:rsid w:val="6AE6668E"/>
    <w:rsid w:val="6AF666D5"/>
    <w:rsid w:val="6B11594C"/>
    <w:rsid w:val="6B2E7032"/>
    <w:rsid w:val="6B3413B3"/>
    <w:rsid w:val="6B537D47"/>
    <w:rsid w:val="6B5B745A"/>
    <w:rsid w:val="6B60464B"/>
    <w:rsid w:val="6B681EB2"/>
    <w:rsid w:val="6B696FA9"/>
    <w:rsid w:val="6B6A49E4"/>
    <w:rsid w:val="6B6E47D9"/>
    <w:rsid w:val="6B741DC4"/>
    <w:rsid w:val="6B7B1541"/>
    <w:rsid w:val="6B7C7DA8"/>
    <w:rsid w:val="6B80359D"/>
    <w:rsid w:val="6B8A1407"/>
    <w:rsid w:val="6BA63872"/>
    <w:rsid w:val="6BAA2394"/>
    <w:rsid w:val="6BAC5891"/>
    <w:rsid w:val="6BC80A7B"/>
    <w:rsid w:val="6BD802A8"/>
    <w:rsid w:val="6BDE3149"/>
    <w:rsid w:val="6BE115FE"/>
    <w:rsid w:val="6BF26D24"/>
    <w:rsid w:val="6BFB32BA"/>
    <w:rsid w:val="6BFD6BB7"/>
    <w:rsid w:val="6C026D64"/>
    <w:rsid w:val="6C0E6B4D"/>
    <w:rsid w:val="6C1838E6"/>
    <w:rsid w:val="6C320365"/>
    <w:rsid w:val="6C322944"/>
    <w:rsid w:val="6C34211A"/>
    <w:rsid w:val="6C3727E2"/>
    <w:rsid w:val="6C3F714D"/>
    <w:rsid w:val="6C4735D8"/>
    <w:rsid w:val="6C587224"/>
    <w:rsid w:val="6C6B5BD5"/>
    <w:rsid w:val="6C846D17"/>
    <w:rsid w:val="6C8A1950"/>
    <w:rsid w:val="6C8A288A"/>
    <w:rsid w:val="6C917384"/>
    <w:rsid w:val="6C991D5D"/>
    <w:rsid w:val="6CA506D3"/>
    <w:rsid w:val="6CB16C1F"/>
    <w:rsid w:val="6CB7341A"/>
    <w:rsid w:val="6CBC15EB"/>
    <w:rsid w:val="6CBE000E"/>
    <w:rsid w:val="6CC7229D"/>
    <w:rsid w:val="6CD6702A"/>
    <w:rsid w:val="6CDA72FE"/>
    <w:rsid w:val="6CE23AFB"/>
    <w:rsid w:val="6CE756D0"/>
    <w:rsid w:val="6CF60783"/>
    <w:rsid w:val="6D06792F"/>
    <w:rsid w:val="6D0A162F"/>
    <w:rsid w:val="6D0E0201"/>
    <w:rsid w:val="6D1906F5"/>
    <w:rsid w:val="6D192E27"/>
    <w:rsid w:val="6D232C90"/>
    <w:rsid w:val="6D2D1A8D"/>
    <w:rsid w:val="6D33190D"/>
    <w:rsid w:val="6D3E2D99"/>
    <w:rsid w:val="6D436E13"/>
    <w:rsid w:val="6D452634"/>
    <w:rsid w:val="6D4B68EC"/>
    <w:rsid w:val="6D5C627B"/>
    <w:rsid w:val="6D681EA4"/>
    <w:rsid w:val="6D6F24B3"/>
    <w:rsid w:val="6D750F93"/>
    <w:rsid w:val="6D76726E"/>
    <w:rsid w:val="6D77432C"/>
    <w:rsid w:val="6D7D1AC3"/>
    <w:rsid w:val="6D815C50"/>
    <w:rsid w:val="6D9033CA"/>
    <w:rsid w:val="6D91378F"/>
    <w:rsid w:val="6DA0407C"/>
    <w:rsid w:val="6DB02AC7"/>
    <w:rsid w:val="6DB32EBA"/>
    <w:rsid w:val="6DBA7E68"/>
    <w:rsid w:val="6DBF0696"/>
    <w:rsid w:val="6DC028E2"/>
    <w:rsid w:val="6DD05B97"/>
    <w:rsid w:val="6DD23DE9"/>
    <w:rsid w:val="6DD62CFA"/>
    <w:rsid w:val="6DDB084C"/>
    <w:rsid w:val="6DE16B73"/>
    <w:rsid w:val="6DE61C05"/>
    <w:rsid w:val="6DEC5AC7"/>
    <w:rsid w:val="6E02368D"/>
    <w:rsid w:val="6E0E4E45"/>
    <w:rsid w:val="6E1942EC"/>
    <w:rsid w:val="6E236350"/>
    <w:rsid w:val="6E2573F2"/>
    <w:rsid w:val="6E27678C"/>
    <w:rsid w:val="6E2B11E4"/>
    <w:rsid w:val="6E353B30"/>
    <w:rsid w:val="6E353E42"/>
    <w:rsid w:val="6E3966B9"/>
    <w:rsid w:val="6E447E57"/>
    <w:rsid w:val="6E457E25"/>
    <w:rsid w:val="6E4A2B2A"/>
    <w:rsid w:val="6E7A5781"/>
    <w:rsid w:val="6E7C4CB6"/>
    <w:rsid w:val="6E8E130F"/>
    <w:rsid w:val="6E8E1EAE"/>
    <w:rsid w:val="6E9948FB"/>
    <w:rsid w:val="6EA35722"/>
    <w:rsid w:val="6EB03D25"/>
    <w:rsid w:val="6EB956DC"/>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D686A"/>
    <w:rsid w:val="6F6F34A0"/>
    <w:rsid w:val="6F8A5F78"/>
    <w:rsid w:val="6F91219D"/>
    <w:rsid w:val="6FA70BA7"/>
    <w:rsid w:val="6FA73D05"/>
    <w:rsid w:val="6FAF1C9C"/>
    <w:rsid w:val="6FB7533C"/>
    <w:rsid w:val="6FBD44AB"/>
    <w:rsid w:val="6FC26F9F"/>
    <w:rsid w:val="6FC61949"/>
    <w:rsid w:val="6FCD319F"/>
    <w:rsid w:val="6FCE771B"/>
    <w:rsid w:val="6FD14A24"/>
    <w:rsid w:val="6FD80473"/>
    <w:rsid w:val="6FD842D4"/>
    <w:rsid w:val="6FDE58DA"/>
    <w:rsid w:val="6FE0254F"/>
    <w:rsid w:val="6FE66281"/>
    <w:rsid w:val="6FE82829"/>
    <w:rsid w:val="6FF231EC"/>
    <w:rsid w:val="6FF80816"/>
    <w:rsid w:val="6FF82702"/>
    <w:rsid w:val="70051FC3"/>
    <w:rsid w:val="700C4781"/>
    <w:rsid w:val="70105602"/>
    <w:rsid w:val="701168CC"/>
    <w:rsid w:val="70134DF9"/>
    <w:rsid w:val="70160D3D"/>
    <w:rsid w:val="702A21C5"/>
    <w:rsid w:val="702E333D"/>
    <w:rsid w:val="702E56D9"/>
    <w:rsid w:val="703B4AA7"/>
    <w:rsid w:val="703F1AC5"/>
    <w:rsid w:val="70515D4F"/>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065A47"/>
    <w:rsid w:val="71154DE5"/>
    <w:rsid w:val="712F05D2"/>
    <w:rsid w:val="712F4884"/>
    <w:rsid w:val="7130470C"/>
    <w:rsid w:val="71431E1E"/>
    <w:rsid w:val="714A575C"/>
    <w:rsid w:val="714D5498"/>
    <w:rsid w:val="714E093C"/>
    <w:rsid w:val="71532FE3"/>
    <w:rsid w:val="717549D4"/>
    <w:rsid w:val="7177447D"/>
    <w:rsid w:val="71942565"/>
    <w:rsid w:val="71956D10"/>
    <w:rsid w:val="719E1803"/>
    <w:rsid w:val="71CC1622"/>
    <w:rsid w:val="71D01A82"/>
    <w:rsid w:val="71D477D6"/>
    <w:rsid w:val="71D73B4B"/>
    <w:rsid w:val="71D91572"/>
    <w:rsid w:val="71E329B9"/>
    <w:rsid w:val="71E36CE7"/>
    <w:rsid w:val="71F04ACC"/>
    <w:rsid w:val="71F16E28"/>
    <w:rsid w:val="721459A1"/>
    <w:rsid w:val="721667D2"/>
    <w:rsid w:val="721E6A2A"/>
    <w:rsid w:val="723D7D7D"/>
    <w:rsid w:val="72486BF3"/>
    <w:rsid w:val="724A5D81"/>
    <w:rsid w:val="72516EA0"/>
    <w:rsid w:val="72544005"/>
    <w:rsid w:val="725D01F5"/>
    <w:rsid w:val="72601A23"/>
    <w:rsid w:val="7285513E"/>
    <w:rsid w:val="728576DC"/>
    <w:rsid w:val="729D54A9"/>
    <w:rsid w:val="72A41103"/>
    <w:rsid w:val="72BB62FA"/>
    <w:rsid w:val="72BD68EF"/>
    <w:rsid w:val="72C20714"/>
    <w:rsid w:val="72C96AFD"/>
    <w:rsid w:val="72C96D9C"/>
    <w:rsid w:val="72D1628E"/>
    <w:rsid w:val="72D50231"/>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44AAB"/>
    <w:rsid w:val="73992BDC"/>
    <w:rsid w:val="73A47EFB"/>
    <w:rsid w:val="73AA0B80"/>
    <w:rsid w:val="73BD0ECB"/>
    <w:rsid w:val="73C42BD2"/>
    <w:rsid w:val="73C4341B"/>
    <w:rsid w:val="73D87220"/>
    <w:rsid w:val="73E16E48"/>
    <w:rsid w:val="73E34EEE"/>
    <w:rsid w:val="73E676F9"/>
    <w:rsid w:val="73E80D75"/>
    <w:rsid w:val="73F76592"/>
    <w:rsid w:val="73F77ED0"/>
    <w:rsid w:val="73F92251"/>
    <w:rsid w:val="73FD1FE1"/>
    <w:rsid w:val="74167702"/>
    <w:rsid w:val="741920B7"/>
    <w:rsid w:val="74252A7E"/>
    <w:rsid w:val="74274051"/>
    <w:rsid w:val="74394C16"/>
    <w:rsid w:val="74397B64"/>
    <w:rsid w:val="743A1D6A"/>
    <w:rsid w:val="743F0A47"/>
    <w:rsid w:val="744C4300"/>
    <w:rsid w:val="74522ADD"/>
    <w:rsid w:val="7469097E"/>
    <w:rsid w:val="746940DF"/>
    <w:rsid w:val="74697489"/>
    <w:rsid w:val="747977F5"/>
    <w:rsid w:val="747D359A"/>
    <w:rsid w:val="747F705E"/>
    <w:rsid w:val="74885903"/>
    <w:rsid w:val="749B420B"/>
    <w:rsid w:val="74A305F8"/>
    <w:rsid w:val="74A36C4A"/>
    <w:rsid w:val="74AE732D"/>
    <w:rsid w:val="74E21D75"/>
    <w:rsid w:val="74EA7314"/>
    <w:rsid w:val="74F308E7"/>
    <w:rsid w:val="74F563DC"/>
    <w:rsid w:val="74FC709B"/>
    <w:rsid w:val="750E49F4"/>
    <w:rsid w:val="750E6F22"/>
    <w:rsid w:val="75180D16"/>
    <w:rsid w:val="751E3863"/>
    <w:rsid w:val="752A213B"/>
    <w:rsid w:val="752D76AD"/>
    <w:rsid w:val="75322F2D"/>
    <w:rsid w:val="75367523"/>
    <w:rsid w:val="753B0AEC"/>
    <w:rsid w:val="753E466F"/>
    <w:rsid w:val="753E4AFA"/>
    <w:rsid w:val="75473288"/>
    <w:rsid w:val="754D1042"/>
    <w:rsid w:val="7552701E"/>
    <w:rsid w:val="755C2C58"/>
    <w:rsid w:val="757C09D4"/>
    <w:rsid w:val="75867A8C"/>
    <w:rsid w:val="75960584"/>
    <w:rsid w:val="75A22D9F"/>
    <w:rsid w:val="75A77B96"/>
    <w:rsid w:val="75B56E21"/>
    <w:rsid w:val="75D65EDE"/>
    <w:rsid w:val="75D82A72"/>
    <w:rsid w:val="75E0573C"/>
    <w:rsid w:val="75E746A2"/>
    <w:rsid w:val="75F23D58"/>
    <w:rsid w:val="75F26586"/>
    <w:rsid w:val="75F87521"/>
    <w:rsid w:val="75FA0B70"/>
    <w:rsid w:val="75FA5AC1"/>
    <w:rsid w:val="75FC11D4"/>
    <w:rsid w:val="76047A8D"/>
    <w:rsid w:val="760858EF"/>
    <w:rsid w:val="760E6B9C"/>
    <w:rsid w:val="76104166"/>
    <w:rsid w:val="761371CD"/>
    <w:rsid w:val="761F36C5"/>
    <w:rsid w:val="762D665B"/>
    <w:rsid w:val="76381FAB"/>
    <w:rsid w:val="76382F19"/>
    <w:rsid w:val="763A012B"/>
    <w:rsid w:val="76645AE7"/>
    <w:rsid w:val="766A66DC"/>
    <w:rsid w:val="766D37EB"/>
    <w:rsid w:val="76805D33"/>
    <w:rsid w:val="769E79EF"/>
    <w:rsid w:val="76A14FCB"/>
    <w:rsid w:val="76A613E1"/>
    <w:rsid w:val="76B76559"/>
    <w:rsid w:val="76C1748B"/>
    <w:rsid w:val="76CB66C2"/>
    <w:rsid w:val="76D71B2F"/>
    <w:rsid w:val="76D72961"/>
    <w:rsid w:val="76DA28C5"/>
    <w:rsid w:val="76DE63E9"/>
    <w:rsid w:val="76E97048"/>
    <w:rsid w:val="76F10225"/>
    <w:rsid w:val="76F52A70"/>
    <w:rsid w:val="76F84648"/>
    <w:rsid w:val="76FF4AF8"/>
    <w:rsid w:val="77021F55"/>
    <w:rsid w:val="77267F29"/>
    <w:rsid w:val="772B0E02"/>
    <w:rsid w:val="77361D8F"/>
    <w:rsid w:val="773F6B8B"/>
    <w:rsid w:val="77685CA5"/>
    <w:rsid w:val="776A154C"/>
    <w:rsid w:val="777164C4"/>
    <w:rsid w:val="777F1F8A"/>
    <w:rsid w:val="77810CE7"/>
    <w:rsid w:val="778F53C8"/>
    <w:rsid w:val="77A340AF"/>
    <w:rsid w:val="77A71275"/>
    <w:rsid w:val="77B17CA2"/>
    <w:rsid w:val="77C03ECA"/>
    <w:rsid w:val="77F71809"/>
    <w:rsid w:val="77FC7EA1"/>
    <w:rsid w:val="78030BB3"/>
    <w:rsid w:val="780C0556"/>
    <w:rsid w:val="780C4D7B"/>
    <w:rsid w:val="780E75CE"/>
    <w:rsid w:val="78183D62"/>
    <w:rsid w:val="781E5BB3"/>
    <w:rsid w:val="78291A3D"/>
    <w:rsid w:val="78376779"/>
    <w:rsid w:val="7840644C"/>
    <w:rsid w:val="785600E7"/>
    <w:rsid w:val="78665DAD"/>
    <w:rsid w:val="78684E9D"/>
    <w:rsid w:val="78693128"/>
    <w:rsid w:val="786B0114"/>
    <w:rsid w:val="788526FC"/>
    <w:rsid w:val="789325A8"/>
    <w:rsid w:val="78966F42"/>
    <w:rsid w:val="789C5CC2"/>
    <w:rsid w:val="78A73464"/>
    <w:rsid w:val="78AE710A"/>
    <w:rsid w:val="78B55E40"/>
    <w:rsid w:val="78B65948"/>
    <w:rsid w:val="78BA147C"/>
    <w:rsid w:val="78BD011C"/>
    <w:rsid w:val="78C371B6"/>
    <w:rsid w:val="78CF013E"/>
    <w:rsid w:val="78D41BC4"/>
    <w:rsid w:val="78D7123D"/>
    <w:rsid w:val="78DC1ED9"/>
    <w:rsid w:val="78E45DC5"/>
    <w:rsid w:val="78E74107"/>
    <w:rsid w:val="78E829E1"/>
    <w:rsid w:val="78F57244"/>
    <w:rsid w:val="7911492F"/>
    <w:rsid w:val="791B1776"/>
    <w:rsid w:val="792546E2"/>
    <w:rsid w:val="79254E6A"/>
    <w:rsid w:val="79292660"/>
    <w:rsid w:val="793C3220"/>
    <w:rsid w:val="79424D71"/>
    <w:rsid w:val="794A4ACB"/>
    <w:rsid w:val="795E5A9F"/>
    <w:rsid w:val="7969335E"/>
    <w:rsid w:val="79707EB6"/>
    <w:rsid w:val="797A3158"/>
    <w:rsid w:val="797F5A86"/>
    <w:rsid w:val="79887854"/>
    <w:rsid w:val="79936416"/>
    <w:rsid w:val="79956DF5"/>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190AB5"/>
    <w:rsid w:val="7A1F37B8"/>
    <w:rsid w:val="7A201B60"/>
    <w:rsid w:val="7A246641"/>
    <w:rsid w:val="7A3005C8"/>
    <w:rsid w:val="7A30622C"/>
    <w:rsid w:val="7A335803"/>
    <w:rsid w:val="7A3A37EB"/>
    <w:rsid w:val="7A443AD5"/>
    <w:rsid w:val="7A495661"/>
    <w:rsid w:val="7A4A2D6F"/>
    <w:rsid w:val="7A4D6899"/>
    <w:rsid w:val="7A5868E1"/>
    <w:rsid w:val="7A654EF0"/>
    <w:rsid w:val="7A755AD2"/>
    <w:rsid w:val="7A765EBB"/>
    <w:rsid w:val="7A776967"/>
    <w:rsid w:val="7A7F5660"/>
    <w:rsid w:val="7A827221"/>
    <w:rsid w:val="7A9149C4"/>
    <w:rsid w:val="7A930150"/>
    <w:rsid w:val="7A972572"/>
    <w:rsid w:val="7AA34AEB"/>
    <w:rsid w:val="7AD328AD"/>
    <w:rsid w:val="7ADE6CE8"/>
    <w:rsid w:val="7AEB63DD"/>
    <w:rsid w:val="7AFE2F11"/>
    <w:rsid w:val="7B026AF4"/>
    <w:rsid w:val="7B0627C9"/>
    <w:rsid w:val="7B0B6E35"/>
    <w:rsid w:val="7B146B8B"/>
    <w:rsid w:val="7B17071C"/>
    <w:rsid w:val="7B2D4E59"/>
    <w:rsid w:val="7B361B73"/>
    <w:rsid w:val="7B3E404B"/>
    <w:rsid w:val="7B3E6F0C"/>
    <w:rsid w:val="7B487574"/>
    <w:rsid w:val="7B5847D4"/>
    <w:rsid w:val="7B5B03C8"/>
    <w:rsid w:val="7B5E4035"/>
    <w:rsid w:val="7B677818"/>
    <w:rsid w:val="7B742FC3"/>
    <w:rsid w:val="7B7C2D50"/>
    <w:rsid w:val="7B8332C5"/>
    <w:rsid w:val="7B92241D"/>
    <w:rsid w:val="7B933A33"/>
    <w:rsid w:val="7B9B5776"/>
    <w:rsid w:val="7BA47AD9"/>
    <w:rsid w:val="7BAC4DFA"/>
    <w:rsid w:val="7BB23597"/>
    <w:rsid w:val="7BB87E91"/>
    <w:rsid w:val="7BBA4C6D"/>
    <w:rsid w:val="7BBF7B42"/>
    <w:rsid w:val="7BC47370"/>
    <w:rsid w:val="7BD13408"/>
    <w:rsid w:val="7BD5667F"/>
    <w:rsid w:val="7BE85532"/>
    <w:rsid w:val="7BED1AFB"/>
    <w:rsid w:val="7BF521EB"/>
    <w:rsid w:val="7BF652F4"/>
    <w:rsid w:val="7BF65A76"/>
    <w:rsid w:val="7BFE5B71"/>
    <w:rsid w:val="7C037135"/>
    <w:rsid w:val="7C090308"/>
    <w:rsid w:val="7C1526D4"/>
    <w:rsid w:val="7C3A5AAE"/>
    <w:rsid w:val="7C521E57"/>
    <w:rsid w:val="7C563743"/>
    <w:rsid w:val="7C5B29CF"/>
    <w:rsid w:val="7C6D5ED6"/>
    <w:rsid w:val="7C710621"/>
    <w:rsid w:val="7C7F0437"/>
    <w:rsid w:val="7C875361"/>
    <w:rsid w:val="7C9E7D96"/>
    <w:rsid w:val="7CA2276B"/>
    <w:rsid w:val="7CB67DC0"/>
    <w:rsid w:val="7CB927F3"/>
    <w:rsid w:val="7CBD1EC8"/>
    <w:rsid w:val="7CCA25EE"/>
    <w:rsid w:val="7CD25978"/>
    <w:rsid w:val="7CEC5ADC"/>
    <w:rsid w:val="7CFA373E"/>
    <w:rsid w:val="7CFA3CFB"/>
    <w:rsid w:val="7CFA4CF5"/>
    <w:rsid w:val="7CFC09FE"/>
    <w:rsid w:val="7D000B73"/>
    <w:rsid w:val="7D0047C2"/>
    <w:rsid w:val="7D244163"/>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9D3DB8"/>
    <w:rsid w:val="7D9F0D2B"/>
    <w:rsid w:val="7D9F2B6E"/>
    <w:rsid w:val="7D9F62FE"/>
    <w:rsid w:val="7DAE24B5"/>
    <w:rsid w:val="7DAF66EB"/>
    <w:rsid w:val="7DB24DC1"/>
    <w:rsid w:val="7DB4614C"/>
    <w:rsid w:val="7DB67CD0"/>
    <w:rsid w:val="7DBF1D7F"/>
    <w:rsid w:val="7DC9253D"/>
    <w:rsid w:val="7DE37918"/>
    <w:rsid w:val="7DF16160"/>
    <w:rsid w:val="7DF232D8"/>
    <w:rsid w:val="7DF44714"/>
    <w:rsid w:val="7DFC6FC2"/>
    <w:rsid w:val="7E135DA3"/>
    <w:rsid w:val="7E175904"/>
    <w:rsid w:val="7E2D3630"/>
    <w:rsid w:val="7E2F2179"/>
    <w:rsid w:val="7E314AA9"/>
    <w:rsid w:val="7E3225E2"/>
    <w:rsid w:val="7E352319"/>
    <w:rsid w:val="7E50011E"/>
    <w:rsid w:val="7E564D83"/>
    <w:rsid w:val="7E571B5C"/>
    <w:rsid w:val="7E691AAA"/>
    <w:rsid w:val="7E6A29A3"/>
    <w:rsid w:val="7E755EAD"/>
    <w:rsid w:val="7E784DF4"/>
    <w:rsid w:val="7E7E54AA"/>
    <w:rsid w:val="7E874ED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497367"/>
    <w:rsid w:val="7F5157A1"/>
    <w:rsid w:val="7F557C58"/>
    <w:rsid w:val="7F575AF6"/>
    <w:rsid w:val="7F5D41F3"/>
    <w:rsid w:val="7F610DEC"/>
    <w:rsid w:val="7F6C669C"/>
    <w:rsid w:val="7F6C77EA"/>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C7041A-D978-4F93-AF32-0D898C40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qFormat/>
  </w:style>
  <w:style w:type="character" w:styleId="HTMLVariable">
    <w:name w:val="HTML Variable"/>
    <w:basedOn w:val="DefaultParagraphFont"/>
    <w:qFormat/>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 w:type="character" w:customStyle="1" w:styleId="high-light-bg4">
    <w:name w:val="high-light-bg4"/>
    <w:basedOn w:val="DefaultParagraphFont"/>
    <w:qFormat/>
    <w:rPr>
      <w:shd w:val="clear" w:color="auto" w:fill="FEE9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2020.7~2021.1\103e\Rel17\ZTE%20Tdoc\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20.7~2021.1\103e\Rel17\ZTE%20Tdoc\figur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020.7~2021.1\103e\Rel17\ZTE%20Tdoc\figur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020.7~2021.1\103e\Rel17\ZTE%20Tdoc\figur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Mean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[figure.xlsx]Sheet5!$G$7</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[figure.xlsx]Sheet5!$H$6:$I$6</c:f>
              <c:strCache>
                <c:ptCount val="2"/>
                <c:pt idx="0">
                  <c:v>Case 1</c:v>
                </c:pt>
                <c:pt idx="1">
                  <c:v>Case 2</c:v>
                </c:pt>
              </c:strCache>
            </c:strRef>
          </c:cat>
          <c:val>
            <c:numRef>
              <c:f>[figure.xlsx]Sheet5!$H$7:$I$7</c:f>
              <c:numCache>
                <c:formatCode>General</c:formatCode>
                <c:ptCount val="2"/>
                <c:pt idx="0">
                  <c:v>9506.1718999999994</c:v>
                </c:pt>
                <c:pt idx="1">
                  <c:v>9433.5547000000006</c:v>
                </c:pt>
              </c:numCache>
            </c:numRef>
          </c:val>
        </c:ser>
        <c:ser>
          <c:idx val="1"/>
          <c:order val="1"/>
          <c:tx>
            <c:strRef>
              <c:f>[figure.xlsx]Sheet5!$G$8</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[figure.xlsx]Sheet5!$H$6:$I$6</c:f>
              <c:strCache>
                <c:ptCount val="2"/>
                <c:pt idx="0">
                  <c:v>Case 1</c:v>
                </c:pt>
                <c:pt idx="1">
                  <c:v>Case 2</c:v>
                </c:pt>
              </c:strCache>
            </c:strRef>
          </c:cat>
          <c:val>
            <c:numRef>
              <c:f>[figure.xlsx]Sheet5!$H$8:$I$8</c:f>
              <c:numCache>
                <c:formatCode>General</c:formatCode>
                <c:ptCount val="2"/>
                <c:pt idx="0">
                  <c:v>8636.5840000000007</c:v>
                </c:pt>
                <c:pt idx="1">
                  <c:v>10886.627899999999</c:v>
                </c:pt>
              </c:numCache>
            </c:numRef>
          </c:val>
        </c:ser>
        <c:ser>
          <c:idx val="2"/>
          <c:order val="2"/>
          <c:tx>
            <c:strRef>
              <c:f>[figure.xlsx]Sheet5!$G$9</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[figure.xlsx]Sheet5!$H$6:$I$6</c:f>
              <c:strCache>
                <c:ptCount val="2"/>
                <c:pt idx="0">
                  <c:v>Case 1</c:v>
                </c:pt>
                <c:pt idx="1">
                  <c:v>Case 2</c:v>
                </c:pt>
              </c:strCache>
            </c:strRef>
          </c:cat>
          <c:val>
            <c:numRef>
              <c:f>[figure.xlsx]Sheet5!$H$9:$I$9</c:f>
              <c:numCache>
                <c:formatCode>General</c:formatCode>
                <c:ptCount val="2"/>
                <c:pt idx="0">
                  <c:v>18142.7559</c:v>
                </c:pt>
                <c:pt idx="1">
                  <c:v>20320.1826</c:v>
                </c:pt>
              </c:numCache>
            </c:numRef>
          </c:val>
        </c:ser>
        <c:dLbls>
          <c:showLegendKey val="0"/>
          <c:showVal val="0"/>
          <c:showCatName val="0"/>
          <c:showSerName val="0"/>
          <c:showPercent val="0"/>
          <c:showBubbleSize val="0"/>
        </c:dLbls>
        <c:gapWidth val="219"/>
        <c:overlap val="-27"/>
        <c:axId val="475117728"/>
        <c:axId val="475118120"/>
      </c:barChart>
      <c:catAx>
        <c:axId val="47511772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18120"/>
        <c:crosses val="autoZero"/>
        <c:auto val="1"/>
        <c:lblAlgn val="ctr"/>
        <c:lblOffset val="100"/>
        <c:noMultiLvlLbl val="0"/>
      </c:catAx>
      <c:valAx>
        <c:axId val="475118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17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5%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[figure.xlsx]Sheet5!$L$7</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[figure.xlsx]Sheet5!$M$6:$N$6</c:f>
              <c:strCache>
                <c:ptCount val="2"/>
                <c:pt idx="0">
                  <c:v>Case 1</c:v>
                </c:pt>
                <c:pt idx="1">
                  <c:v>Case 2</c:v>
                </c:pt>
              </c:strCache>
            </c:strRef>
          </c:cat>
          <c:val>
            <c:numRef>
              <c:f>[figure.xlsx]Sheet5!$M$7:$N$7</c:f>
              <c:numCache>
                <c:formatCode>General</c:formatCode>
                <c:ptCount val="2"/>
                <c:pt idx="0">
                  <c:v>2727.4854</c:v>
                </c:pt>
                <c:pt idx="1">
                  <c:v>2734.7085000000002</c:v>
                </c:pt>
              </c:numCache>
            </c:numRef>
          </c:val>
        </c:ser>
        <c:ser>
          <c:idx val="1"/>
          <c:order val="1"/>
          <c:tx>
            <c:strRef>
              <c:f>[figure.xlsx]Sheet5!$L$8</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[figure.xlsx]Sheet5!$M$6:$N$6</c:f>
              <c:strCache>
                <c:ptCount val="2"/>
                <c:pt idx="0">
                  <c:v>Case 1</c:v>
                </c:pt>
                <c:pt idx="1">
                  <c:v>Case 2</c:v>
                </c:pt>
              </c:strCache>
            </c:strRef>
          </c:cat>
          <c:val>
            <c:numRef>
              <c:f>[figure.xlsx]Sheet5!$M$8:$N$8</c:f>
              <c:numCache>
                <c:formatCode>General</c:formatCode>
                <c:ptCount val="2"/>
                <c:pt idx="0">
                  <c:v>2373.8499000000002</c:v>
                </c:pt>
                <c:pt idx="1">
                  <c:v>3030.9807000000001</c:v>
                </c:pt>
              </c:numCache>
            </c:numRef>
          </c:val>
        </c:ser>
        <c:ser>
          <c:idx val="2"/>
          <c:order val="2"/>
          <c:tx>
            <c:strRef>
              <c:f>[figure.xlsx]Sheet5!$L$9</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[figure.xlsx]Sheet5!$M$6:$N$6</c:f>
              <c:strCache>
                <c:ptCount val="2"/>
                <c:pt idx="0">
                  <c:v>Case 1</c:v>
                </c:pt>
                <c:pt idx="1">
                  <c:v>Case 2</c:v>
                </c:pt>
              </c:strCache>
            </c:strRef>
          </c:cat>
          <c:val>
            <c:numRef>
              <c:f>[figure.xlsx]Sheet5!$M$9:$N$9</c:f>
              <c:numCache>
                <c:formatCode>General</c:formatCode>
                <c:ptCount val="2"/>
                <c:pt idx="0">
                  <c:v>5101.3352999999997</c:v>
                </c:pt>
                <c:pt idx="1">
                  <c:v>5765.6891999999998</c:v>
                </c:pt>
              </c:numCache>
            </c:numRef>
          </c:val>
        </c:ser>
        <c:dLbls>
          <c:showLegendKey val="0"/>
          <c:showVal val="0"/>
          <c:showCatName val="0"/>
          <c:showSerName val="0"/>
          <c:showPercent val="0"/>
          <c:showBubbleSize val="0"/>
        </c:dLbls>
        <c:gapWidth val="219"/>
        <c:overlap val="-27"/>
        <c:axId val="473171488"/>
        <c:axId val="475118904"/>
      </c:barChart>
      <c:catAx>
        <c:axId val="47317148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18904"/>
        <c:crosses val="autoZero"/>
        <c:auto val="1"/>
        <c:lblAlgn val="ctr"/>
        <c:lblOffset val="100"/>
        <c:noMultiLvlLbl val="0"/>
      </c:catAx>
      <c:valAx>
        <c:axId val="475118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3171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50%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[figure.xlsx]Sheet5!$E$29</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[figure.xlsx]Sheet5!$F$28:$G$28</c:f>
              <c:strCache>
                <c:ptCount val="2"/>
                <c:pt idx="0">
                  <c:v>Case 1</c:v>
                </c:pt>
                <c:pt idx="1">
                  <c:v>Case 2</c:v>
                </c:pt>
              </c:strCache>
            </c:strRef>
          </c:cat>
          <c:val>
            <c:numRef>
              <c:f>[figure.xlsx]Sheet5!$F$29:$G$29</c:f>
              <c:numCache>
                <c:formatCode>General</c:formatCode>
                <c:ptCount val="2"/>
                <c:pt idx="0">
                  <c:v>9411.5508000000009</c:v>
                </c:pt>
                <c:pt idx="1">
                  <c:v>8884.0185999999994</c:v>
                </c:pt>
              </c:numCache>
            </c:numRef>
          </c:val>
        </c:ser>
        <c:ser>
          <c:idx val="1"/>
          <c:order val="1"/>
          <c:tx>
            <c:strRef>
              <c:f>[figure.xlsx]Sheet5!$E$30</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[figure.xlsx]Sheet5!$F$28:$G$28</c:f>
              <c:strCache>
                <c:ptCount val="2"/>
                <c:pt idx="0">
                  <c:v>Case 1</c:v>
                </c:pt>
                <c:pt idx="1">
                  <c:v>Case 2</c:v>
                </c:pt>
              </c:strCache>
            </c:strRef>
          </c:cat>
          <c:val>
            <c:numRef>
              <c:f>[figure.xlsx]Sheet5!$F$30:$G$30</c:f>
              <c:numCache>
                <c:formatCode>General</c:formatCode>
                <c:ptCount val="2"/>
                <c:pt idx="0">
                  <c:v>8068.3247000000001</c:v>
                </c:pt>
                <c:pt idx="1">
                  <c:v>10866.194299999999</c:v>
                </c:pt>
              </c:numCache>
            </c:numRef>
          </c:val>
        </c:ser>
        <c:ser>
          <c:idx val="2"/>
          <c:order val="2"/>
          <c:tx>
            <c:strRef>
              <c:f>[figure.xlsx]Sheet5!$E$31</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[figure.xlsx]Sheet5!$F$28:$G$28</c:f>
              <c:strCache>
                <c:ptCount val="2"/>
                <c:pt idx="0">
                  <c:v>Case 1</c:v>
                </c:pt>
                <c:pt idx="1">
                  <c:v>Case 2</c:v>
                </c:pt>
              </c:strCache>
            </c:strRef>
          </c:cat>
          <c:val>
            <c:numRef>
              <c:f>[figure.xlsx]Sheet5!$F$31:$G$31</c:f>
              <c:numCache>
                <c:formatCode>General</c:formatCode>
                <c:ptCount val="2"/>
                <c:pt idx="0">
                  <c:v>17479.875499999998</c:v>
                </c:pt>
                <c:pt idx="1">
                  <c:v>19750.212899999999</c:v>
                </c:pt>
              </c:numCache>
            </c:numRef>
          </c:val>
        </c:ser>
        <c:dLbls>
          <c:showLegendKey val="0"/>
          <c:showVal val="0"/>
          <c:showCatName val="0"/>
          <c:showSerName val="0"/>
          <c:showPercent val="0"/>
          <c:showBubbleSize val="0"/>
        </c:dLbls>
        <c:gapWidth val="219"/>
        <c:overlap val="-27"/>
        <c:axId val="475119688"/>
        <c:axId val="475120080"/>
      </c:barChart>
      <c:catAx>
        <c:axId val="47511968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20080"/>
        <c:crosses val="autoZero"/>
        <c:auto val="1"/>
        <c:lblAlgn val="ctr"/>
        <c:lblOffset val="100"/>
        <c:noMultiLvlLbl val="0"/>
      </c:catAx>
      <c:valAx>
        <c:axId val="475120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19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95% UPT</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[figure.xlsx]Sheet5!$J$29</c:f>
              <c:strCache>
                <c:ptCount val="1"/>
                <c:pt idx="0">
                  <c:v>Operator 1</c:v>
                </c:pt>
              </c:strCache>
            </c:strRef>
          </c:tx>
          <c:spPr>
            <a:gradFill>
              <a:gsLst>
                <a:gs pos="0">
                  <a:srgbClr val="FE4444"/>
                </a:gs>
                <a:gs pos="100000">
                  <a:srgbClr val="832B2B"/>
                </a:gs>
              </a:gsLst>
              <a:lin ang="5400000" scaled="0"/>
            </a:gradFill>
            <a:ln>
              <a:noFill/>
            </a:ln>
            <a:effectLst/>
          </c:spPr>
          <c:invertIfNegative val="0"/>
          <c:cat>
            <c:strRef>
              <c:f>[figure.xlsx]Sheet5!$K$28:$L$28</c:f>
              <c:strCache>
                <c:ptCount val="2"/>
                <c:pt idx="0">
                  <c:v>Case 1</c:v>
                </c:pt>
                <c:pt idx="1">
                  <c:v>Case 2</c:v>
                </c:pt>
              </c:strCache>
            </c:strRef>
          </c:cat>
          <c:val>
            <c:numRef>
              <c:f>[figure.xlsx]Sheet5!$K$29:$L$29</c:f>
              <c:numCache>
                <c:formatCode>General</c:formatCode>
                <c:ptCount val="2"/>
                <c:pt idx="0">
                  <c:v>15086.5273</c:v>
                </c:pt>
                <c:pt idx="1">
                  <c:v>14731.7412</c:v>
                </c:pt>
              </c:numCache>
            </c:numRef>
          </c:val>
        </c:ser>
        <c:ser>
          <c:idx val="1"/>
          <c:order val="1"/>
          <c:tx>
            <c:strRef>
              <c:f>[figure.xlsx]Sheet5!$J$30</c:f>
              <c:strCache>
                <c:ptCount val="1"/>
                <c:pt idx="0">
                  <c:v>Operator 2</c:v>
                </c:pt>
              </c:strCache>
            </c:strRef>
          </c:tx>
          <c:spPr>
            <a:gradFill>
              <a:gsLst>
                <a:gs pos="0">
                  <a:srgbClr val="FECF40"/>
                </a:gs>
                <a:gs pos="100000">
                  <a:srgbClr val="846C21"/>
                </a:gs>
              </a:gsLst>
              <a:lin ang="5400000" scaled="0"/>
            </a:gradFill>
            <a:ln>
              <a:noFill/>
            </a:ln>
            <a:effectLst/>
          </c:spPr>
          <c:invertIfNegative val="0"/>
          <c:cat>
            <c:strRef>
              <c:f>[figure.xlsx]Sheet5!$K$28:$L$28</c:f>
              <c:strCache>
                <c:ptCount val="2"/>
                <c:pt idx="0">
                  <c:v>Case 1</c:v>
                </c:pt>
                <c:pt idx="1">
                  <c:v>Case 2</c:v>
                </c:pt>
              </c:strCache>
            </c:strRef>
          </c:cat>
          <c:val>
            <c:numRef>
              <c:f>[figure.xlsx]Sheet5!$K$30:$L$30</c:f>
              <c:numCache>
                <c:formatCode>General</c:formatCode>
                <c:ptCount val="2"/>
                <c:pt idx="0">
                  <c:v>15635.126</c:v>
                </c:pt>
                <c:pt idx="1">
                  <c:v>19536.293000000001</c:v>
                </c:pt>
              </c:numCache>
            </c:numRef>
          </c:val>
        </c:ser>
        <c:ser>
          <c:idx val="2"/>
          <c:order val="2"/>
          <c:tx>
            <c:strRef>
              <c:f>[figure.xlsx]Sheet5!$J$31</c:f>
              <c:strCache>
                <c:ptCount val="1"/>
                <c:pt idx="0">
                  <c:v>Total</c:v>
                </c:pt>
              </c:strCache>
            </c:strRef>
          </c:tx>
          <c:spPr>
            <a:gradFill>
              <a:gsLst>
                <a:gs pos="0">
                  <a:srgbClr val="14CD68"/>
                </a:gs>
                <a:gs pos="100000">
                  <a:srgbClr val="0B6E38"/>
                </a:gs>
              </a:gsLst>
              <a:lin ang="5400000" scaled="0"/>
            </a:gradFill>
            <a:ln>
              <a:noFill/>
            </a:ln>
            <a:effectLst/>
          </c:spPr>
          <c:invertIfNegative val="0"/>
          <c:cat>
            <c:strRef>
              <c:f>[figure.xlsx]Sheet5!$K$28:$L$28</c:f>
              <c:strCache>
                <c:ptCount val="2"/>
                <c:pt idx="0">
                  <c:v>Case 1</c:v>
                </c:pt>
                <c:pt idx="1">
                  <c:v>Case 2</c:v>
                </c:pt>
              </c:strCache>
            </c:strRef>
          </c:cat>
          <c:val>
            <c:numRef>
              <c:f>[figure.xlsx]Sheet5!$K$31:$L$31</c:f>
              <c:numCache>
                <c:formatCode>General</c:formatCode>
                <c:ptCount val="2"/>
                <c:pt idx="0">
                  <c:v>30721.653300000002</c:v>
                </c:pt>
                <c:pt idx="1">
                  <c:v>34268.034200000002</c:v>
                </c:pt>
              </c:numCache>
            </c:numRef>
          </c:val>
        </c:ser>
        <c:dLbls>
          <c:showLegendKey val="0"/>
          <c:showVal val="0"/>
          <c:showCatName val="0"/>
          <c:showSerName val="0"/>
          <c:showPercent val="0"/>
          <c:showBubbleSize val="0"/>
        </c:dLbls>
        <c:gapWidth val="219"/>
        <c:overlap val="-27"/>
        <c:axId val="475120864"/>
        <c:axId val="388755344"/>
      </c:barChart>
      <c:catAx>
        <c:axId val="4751208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88755344"/>
        <c:crosses val="autoZero"/>
        <c:auto val="1"/>
        <c:lblAlgn val="ctr"/>
        <c:lblOffset val="100"/>
        <c:noMultiLvlLbl val="0"/>
      </c:catAx>
      <c:valAx>
        <c:axId val="388755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75120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11</cp:revision>
  <cp:lastPrinted>2018-02-16T23:29:00Z</cp:lastPrinted>
  <dcterms:created xsi:type="dcterms:W3CDTF">2020-10-16T11:16:00Z</dcterms:created>
  <dcterms:modified xsi:type="dcterms:W3CDTF">2020-10-17T03:29:00Z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